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A3" w:rsidRPr="000176C3" w:rsidRDefault="007975A3" w:rsidP="008025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eastAsia="Times New Roman" w:hAnsi="Times New Roman" w:cs="Times New Roman"/>
          <w:color w:val="000000"/>
          <w:sz w:val="23"/>
          <w:szCs w:val="23"/>
        </w:rPr>
        <w:t>GOVERNMENT OF INDIA</w:t>
      </w:r>
    </w:p>
    <w:p w:rsidR="007975A3" w:rsidRPr="000176C3" w:rsidRDefault="007975A3" w:rsidP="008025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eastAsia="Times New Roman" w:hAnsi="Times New Roman" w:cs="Times New Roman"/>
          <w:color w:val="000000"/>
          <w:sz w:val="23"/>
          <w:szCs w:val="23"/>
        </w:rPr>
        <w:t>MINISTRY OF FINANCE</w:t>
      </w:r>
    </w:p>
    <w:p w:rsidR="007975A3" w:rsidRPr="000176C3" w:rsidRDefault="007975A3" w:rsidP="008025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eastAsia="Times New Roman" w:hAnsi="Times New Roman" w:cs="Times New Roman"/>
          <w:color w:val="000000"/>
          <w:sz w:val="23"/>
          <w:szCs w:val="23"/>
        </w:rPr>
        <w:t>DEPARTMENT OF FINANCIAL SERVICES</w:t>
      </w:r>
    </w:p>
    <w:p w:rsidR="009213B7" w:rsidRPr="000176C3" w:rsidRDefault="009213B7" w:rsidP="008025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176C3">
        <w:rPr>
          <w:rFonts w:ascii="Times New Roman" w:hAnsi="Times New Roman" w:cs="Times New Roman"/>
          <w:b/>
          <w:bCs/>
          <w:sz w:val="23"/>
          <w:szCs w:val="23"/>
        </w:rPr>
        <w:t>RAJYA SABHA</w:t>
      </w:r>
    </w:p>
    <w:p w:rsidR="009213B7" w:rsidRPr="000176C3" w:rsidRDefault="009213B7" w:rsidP="008025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 w:rsidRPr="000176C3">
        <w:rPr>
          <w:rFonts w:ascii="Times New Roman" w:hAnsi="Times New Roman" w:cs="Times New Roman"/>
          <w:b/>
          <w:bCs/>
          <w:sz w:val="23"/>
          <w:szCs w:val="23"/>
        </w:rPr>
        <w:t>UNSTARRED QUESTION NO.</w:t>
      </w:r>
      <w:proofErr w:type="gramEnd"/>
      <w:r w:rsidRPr="000176C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9535C" w:rsidRPr="000176C3">
        <w:rPr>
          <w:rFonts w:ascii="Times New Roman" w:hAnsi="Times New Roman" w:cs="Times New Roman"/>
          <w:b/>
          <w:bCs/>
          <w:sz w:val="23"/>
          <w:szCs w:val="23"/>
        </w:rPr>
        <w:t>2581</w:t>
      </w:r>
    </w:p>
    <w:p w:rsidR="009213B7" w:rsidRPr="000176C3" w:rsidRDefault="009213B7" w:rsidP="008025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3"/>
          <w:szCs w:val="23"/>
          <w:lang w:val="en-IN"/>
        </w:rPr>
      </w:pPr>
      <w:r w:rsidRPr="000176C3">
        <w:rPr>
          <w:rFonts w:ascii="Times New Roman" w:hAnsi="Times New Roman" w:cs="Times New Roman"/>
          <w:sz w:val="23"/>
          <w:szCs w:val="23"/>
        </w:rPr>
        <w:t xml:space="preserve">ANSWERED ON </w:t>
      </w:r>
      <w:r w:rsidRPr="000176C3">
        <w:rPr>
          <w:rFonts w:ascii="Times New Roman" w:hAnsi="Times New Roman" w:cs="Times New Roman"/>
          <w:sz w:val="23"/>
          <w:szCs w:val="23"/>
          <w:lang w:val="en-IN"/>
        </w:rPr>
        <w:t xml:space="preserve">– </w:t>
      </w:r>
      <w:r w:rsidR="0009535C" w:rsidRPr="000176C3">
        <w:rPr>
          <w:rFonts w:ascii="Times New Roman" w:hAnsi="Times New Roman" w:cs="Times New Roman"/>
          <w:sz w:val="23"/>
          <w:szCs w:val="23"/>
          <w:lang w:val="en-IN"/>
        </w:rPr>
        <w:t>17.03</w:t>
      </w:r>
      <w:r w:rsidR="000D7222" w:rsidRPr="000176C3">
        <w:rPr>
          <w:rFonts w:ascii="Times New Roman" w:hAnsi="Times New Roman" w:cs="Times New Roman"/>
          <w:sz w:val="23"/>
          <w:szCs w:val="23"/>
          <w:lang w:val="en-IN"/>
        </w:rPr>
        <w:t>.2020</w:t>
      </w:r>
    </w:p>
    <w:p w:rsidR="009213B7" w:rsidRPr="000176C3" w:rsidRDefault="009213B7" w:rsidP="008025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3"/>
          <w:szCs w:val="23"/>
          <w:lang w:val="en-IN"/>
        </w:rPr>
      </w:pPr>
    </w:p>
    <w:p w:rsidR="007975A3" w:rsidRPr="000176C3" w:rsidRDefault="0009535C" w:rsidP="0080257A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176C3">
        <w:rPr>
          <w:rFonts w:ascii="Times New Roman" w:hAnsi="Times New Roman" w:cs="Times New Roman"/>
          <w:b/>
          <w:bCs/>
          <w:sz w:val="23"/>
          <w:szCs w:val="23"/>
        </w:rPr>
        <w:t>REJECTION OF CLAIMS UNDER HEALTH INSURANCE POLICIES</w:t>
      </w:r>
    </w:p>
    <w:p w:rsidR="0009535C" w:rsidRPr="000176C3" w:rsidRDefault="0009535C" w:rsidP="0080257A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hAnsi="Times New Roman" w:cs="Times New Roman"/>
          <w:color w:val="000000"/>
          <w:sz w:val="23"/>
          <w:szCs w:val="23"/>
        </w:rPr>
        <w:t>2581. SHRI K.K. RAGESH:</w:t>
      </w:r>
    </w:p>
    <w:p w:rsidR="009213B7" w:rsidRPr="000176C3" w:rsidRDefault="009213B7" w:rsidP="0080257A">
      <w:pPr>
        <w:spacing w:after="0" w:line="240" w:lineRule="auto"/>
        <w:ind w:right="-1"/>
        <w:rPr>
          <w:rFonts w:ascii="Times New Roman" w:hAnsi="Times New Roman" w:cs="Times New Roman"/>
          <w:sz w:val="23"/>
          <w:szCs w:val="23"/>
        </w:rPr>
      </w:pPr>
      <w:r w:rsidRPr="000176C3">
        <w:rPr>
          <w:rFonts w:ascii="Times New Roman" w:hAnsi="Times New Roman" w:cs="Times New Roman"/>
          <w:sz w:val="23"/>
          <w:szCs w:val="23"/>
        </w:rPr>
        <w:t xml:space="preserve">Will the Minister of FINANCE be pleased to </w:t>
      </w:r>
      <w:proofErr w:type="gramStart"/>
      <w:r w:rsidRPr="000176C3">
        <w:rPr>
          <w:rFonts w:ascii="Times New Roman" w:hAnsi="Times New Roman" w:cs="Times New Roman"/>
          <w:sz w:val="23"/>
          <w:szCs w:val="23"/>
        </w:rPr>
        <w:t>state:</w:t>
      </w:r>
      <w:proofErr w:type="gramEnd"/>
    </w:p>
    <w:p w:rsidR="0009535C" w:rsidRPr="000176C3" w:rsidRDefault="0009535C" w:rsidP="0080257A">
      <w:pPr>
        <w:pStyle w:val="ListParagraph"/>
        <w:numPr>
          <w:ilvl w:val="0"/>
          <w:numId w:val="5"/>
        </w:numPr>
        <w:spacing w:line="240" w:lineRule="auto"/>
        <w:ind w:left="567" w:right="-1"/>
        <w:jc w:val="both"/>
        <w:rPr>
          <w:rFonts w:ascii="Times New Roman" w:hAnsi="Times New Roman" w:cs="Times New Roman"/>
          <w:color w:val="000000"/>
          <w:sz w:val="23"/>
          <w:szCs w:val="23"/>
          <w:lang w:bidi="ar-SA"/>
        </w:rPr>
      </w:pPr>
      <w:r w:rsidRPr="000176C3">
        <w:rPr>
          <w:rFonts w:ascii="Times New Roman" w:hAnsi="Times New Roman" w:cs="Times New Roman"/>
          <w:color w:val="000000"/>
          <w:sz w:val="23"/>
          <w:szCs w:val="23"/>
          <w:lang w:bidi="ar-SA"/>
        </w:rPr>
        <w:t xml:space="preserve">whether the complaints against rejection of claims under health insurance policies are increasing; </w:t>
      </w:r>
    </w:p>
    <w:p w:rsidR="0009535C" w:rsidRPr="000176C3" w:rsidRDefault="0009535C" w:rsidP="0080257A">
      <w:pPr>
        <w:pStyle w:val="ListParagraph"/>
        <w:numPr>
          <w:ilvl w:val="0"/>
          <w:numId w:val="5"/>
        </w:numPr>
        <w:spacing w:line="240" w:lineRule="auto"/>
        <w:ind w:left="567" w:right="-1"/>
        <w:jc w:val="both"/>
        <w:rPr>
          <w:rFonts w:ascii="Times New Roman" w:hAnsi="Times New Roman" w:cs="Times New Roman"/>
          <w:color w:val="000000"/>
          <w:sz w:val="23"/>
          <w:szCs w:val="23"/>
          <w:lang w:bidi="ar-SA"/>
        </w:rPr>
      </w:pPr>
      <w:r w:rsidRPr="000176C3">
        <w:rPr>
          <w:rFonts w:ascii="Times New Roman" w:hAnsi="Times New Roman" w:cs="Times New Roman"/>
          <w:color w:val="000000"/>
          <w:sz w:val="23"/>
          <w:szCs w:val="23"/>
          <w:lang w:bidi="ar-SA"/>
        </w:rPr>
        <w:t xml:space="preserve">if so, the details of such complaints reported during the last five years; </w:t>
      </w:r>
    </w:p>
    <w:p w:rsidR="0009535C" w:rsidRPr="000176C3" w:rsidRDefault="0009535C" w:rsidP="0080257A">
      <w:pPr>
        <w:pStyle w:val="ListParagraph"/>
        <w:numPr>
          <w:ilvl w:val="0"/>
          <w:numId w:val="5"/>
        </w:numPr>
        <w:spacing w:line="240" w:lineRule="auto"/>
        <w:ind w:left="567" w:right="-1"/>
        <w:jc w:val="both"/>
        <w:rPr>
          <w:rFonts w:ascii="Times New Roman" w:hAnsi="Times New Roman" w:cs="Times New Roman"/>
          <w:color w:val="000000"/>
          <w:sz w:val="23"/>
          <w:szCs w:val="23"/>
          <w:lang w:bidi="ar-SA"/>
        </w:rPr>
      </w:pPr>
      <w:r w:rsidRPr="000176C3">
        <w:rPr>
          <w:rFonts w:ascii="Times New Roman" w:hAnsi="Times New Roman" w:cs="Times New Roman"/>
          <w:color w:val="000000"/>
          <w:sz w:val="23"/>
          <w:szCs w:val="23"/>
          <w:lang w:bidi="ar-SA"/>
        </w:rPr>
        <w:t xml:space="preserve">the major reasons cited for rejection of claims; and </w:t>
      </w:r>
    </w:p>
    <w:p w:rsidR="00307D8B" w:rsidRPr="000176C3" w:rsidRDefault="0009535C" w:rsidP="0080257A">
      <w:pPr>
        <w:pStyle w:val="ListParagraph"/>
        <w:numPr>
          <w:ilvl w:val="0"/>
          <w:numId w:val="5"/>
        </w:numPr>
        <w:spacing w:line="240" w:lineRule="auto"/>
        <w:ind w:left="567" w:right="-1"/>
        <w:jc w:val="both"/>
        <w:rPr>
          <w:rFonts w:ascii="Times New Roman" w:hAnsi="Times New Roman" w:cs="Times New Roman"/>
          <w:color w:val="000000"/>
          <w:sz w:val="23"/>
          <w:szCs w:val="23"/>
          <w:lang w:bidi="ar-SA"/>
        </w:rPr>
      </w:pPr>
      <w:proofErr w:type="gramStart"/>
      <w:r w:rsidRPr="000176C3">
        <w:rPr>
          <w:rFonts w:ascii="Times New Roman" w:hAnsi="Times New Roman" w:cs="Times New Roman"/>
          <w:color w:val="000000"/>
          <w:sz w:val="23"/>
          <w:szCs w:val="23"/>
          <w:lang w:bidi="ar-SA"/>
        </w:rPr>
        <w:t>if</w:t>
      </w:r>
      <w:proofErr w:type="gramEnd"/>
      <w:r w:rsidRPr="000176C3">
        <w:rPr>
          <w:rFonts w:ascii="Times New Roman" w:hAnsi="Times New Roman" w:cs="Times New Roman"/>
          <w:color w:val="000000"/>
          <w:sz w:val="23"/>
          <w:szCs w:val="23"/>
          <w:lang w:bidi="ar-SA"/>
        </w:rPr>
        <w:t xml:space="preserve"> so, the details of such complaints which were received against private insurance providers and how many among such complaints were against the public sector insurance companies?</w:t>
      </w:r>
    </w:p>
    <w:p w:rsidR="007975A3" w:rsidRPr="000176C3" w:rsidRDefault="007975A3" w:rsidP="0080257A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176C3">
        <w:rPr>
          <w:rFonts w:ascii="Times New Roman" w:hAnsi="Times New Roman" w:cs="Times New Roman"/>
          <w:b/>
          <w:bCs/>
          <w:sz w:val="23"/>
          <w:szCs w:val="23"/>
        </w:rPr>
        <w:t>ANSWER</w:t>
      </w:r>
    </w:p>
    <w:p w:rsidR="007975A3" w:rsidRPr="000176C3" w:rsidRDefault="007975A3" w:rsidP="0080257A">
      <w:pPr>
        <w:pStyle w:val="ListParagraph"/>
        <w:spacing w:line="240" w:lineRule="auto"/>
        <w:ind w:left="0" w:right="-1"/>
        <w:rPr>
          <w:rFonts w:ascii="Times New Roman" w:hAnsi="Times New Roman" w:cs="Times New Roman"/>
          <w:sz w:val="23"/>
          <w:szCs w:val="23"/>
        </w:rPr>
      </w:pPr>
      <w:r w:rsidRPr="000176C3">
        <w:rPr>
          <w:rFonts w:ascii="Times New Roman" w:hAnsi="Times New Roman" w:cs="Times New Roman"/>
          <w:sz w:val="23"/>
          <w:szCs w:val="23"/>
        </w:rPr>
        <w:t xml:space="preserve">THE MINISTER OF STATE IN THE MINISTRY OF FINANCE </w:t>
      </w:r>
    </w:p>
    <w:p w:rsidR="0009535C" w:rsidRPr="000176C3" w:rsidRDefault="007975A3" w:rsidP="0080257A">
      <w:pPr>
        <w:pStyle w:val="ListParagraph"/>
        <w:spacing w:after="0" w:line="240" w:lineRule="auto"/>
        <w:ind w:left="0" w:right="-1"/>
        <w:rPr>
          <w:rFonts w:ascii="Times New Roman" w:hAnsi="Times New Roman" w:cs="Times New Roman"/>
          <w:sz w:val="23"/>
          <w:szCs w:val="23"/>
        </w:rPr>
      </w:pPr>
      <w:r w:rsidRPr="000176C3">
        <w:rPr>
          <w:rFonts w:ascii="Times New Roman" w:hAnsi="Times New Roman" w:cs="Times New Roman"/>
          <w:sz w:val="23"/>
          <w:szCs w:val="23"/>
        </w:rPr>
        <w:t>(SHRI ANURAG SINGH THAKUR)</w:t>
      </w:r>
    </w:p>
    <w:p w:rsidR="0045321F" w:rsidRPr="000176C3" w:rsidRDefault="0045321F" w:rsidP="0080257A">
      <w:pPr>
        <w:pStyle w:val="ListParagraph"/>
        <w:spacing w:line="240" w:lineRule="auto"/>
        <w:ind w:left="0"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(a) &amp; (b):  </w:t>
      </w:r>
      <w:r w:rsidRPr="000176C3">
        <w:rPr>
          <w:rFonts w:ascii="Times New Roman" w:hAnsi="Times New Roman" w:cs="Times New Roman"/>
          <w:sz w:val="23"/>
          <w:szCs w:val="23"/>
        </w:rPr>
        <w:t>The Insurance Regulatory and Development Authority of India (IRDAI) has informed that t</w:t>
      </w:r>
      <w:r w:rsidRPr="000176C3">
        <w:rPr>
          <w:rFonts w:ascii="Times New Roman" w:hAnsi="Times New Roman" w:cs="Times New Roman"/>
          <w:color w:val="000000"/>
          <w:sz w:val="23"/>
          <w:szCs w:val="23"/>
        </w:rPr>
        <w:t>he number of claim related complaints has increased by 46% between 2014-15 to 2018-19, whereas the number of policies sold, persons covered and claims lodged in Health Insurance have increased by 89%, 64% and 84% respectively during the same period.</w:t>
      </w:r>
    </w:p>
    <w:p w:rsidR="0045321F" w:rsidRPr="000176C3" w:rsidRDefault="0045321F" w:rsidP="0080257A">
      <w:pPr>
        <w:pStyle w:val="ListParagraph"/>
        <w:spacing w:line="240" w:lineRule="auto"/>
        <w:ind w:left="0"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hAnsi="Times New Roman" w:cs="Times New Roman"/>
          <w:color w:val="000000"/>
          <w:sz w:val="23"/>
          <w:szCs w:val="23"/>
        </w:rPr>
        <w:t>The number of claim related complaints (including partly rejected claims) registered against General Insurance Companies under Health Insurance policies is as follows:</w:t>
      </w:r>
    </w:p>
    <w:tbl>
      <w:tblPr>
        <w:tblStyle w:val="TableGrid"/>
        <w:tblW w:w="0" w:type="auto"/>
        <w:jc w:val="center"/>
        <w:tblInd w:w="412" w:type="dxa"/>
        <w:tblLayout w:type="fixed"/>
        <w:tblLook w:val="04A0"/>
      </w:tblPr>
      <w:tblGrid>
        <w:gridCol w:w="2068"/>
        <w:gridCol w:w="1442"/>
      </w:tblGrid>
      <w:tr w:rsidR="0045321F" w:rsidRPr="000176C3" w:rsidTr="005C2513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Financial Year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Total</w:t>
            </w:r>
          </w:p>
        </w:tc>
      </w:tr>
      <w:tr w:rsidR="0045321F" w:rsidRPr="000176C3" w:rsidTr="005C2513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2014-15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11184</w:t>
            </w:r>
          </w:p>
        </w:tc>
      </w:tr>
      <w:tr w:rsidR="0045321F" w:rsidRPr="000176C3" w:rsidTr="005C2513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2015-16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11881</w:t>
            </w:r>
          </w:p>
        </w:tc>
      </w:tr>
      <w:tr w:rsidR="0045321F" w:rsidRPr="000176C3" w:rsidTr="005C2513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2016-17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14500</w:t>
            </w:r>
          </w:p>
        </w:tc>
      </w:tr>
      <w:tr w:rsidR="0045321F" w:rsidRPr="000176C3" w:rsidTr="005C2513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2017-18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14969</w:t>
            </w:r>
          </w:p>
        </w:tc>
      </w:tr>
      <w:tr w:rsidR="0045321F" w:rsidRPr="000176C3" w:rsidTr="005C2513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2018-19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16275</w:t>
            </w:r>
          </w:p>
        </w:tc>
      </w:tr>
    </w:tbl>
    <w:p w:rsidR="0045321F" w:rsidRPr="000176C3" w:rsidRDefault="0045321F" w:rsidP="0080257A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hAnsi="Times New Roman" w:cs="Times New Roman"/>
          <w:b/>
          <w:bCs/>
          <w:color w:val="000000"/>
          <w:sz w:val="23"/>
          <w:szCs w:val="23"/>
        </w:rPr>
        <w:t>(c):</w:t>
      </w:r>
      <w:r w:rsidRPr="000176C3">
        <w:rPr>
          <w:rFonts w:ascii="Times New Roman" w:hAnsi="Times New Roman" w:cs="Times New Roman"/>
          <w:color w:val="000000"/>
          <w:sz w:val="23"/>
          <w:szCs w:val="23"/>
        </w:rPr>
        <w:t xml:space="preserve"> According to instruction furnished by IRDAI, the major reasons cited for rejection of claims by Insurance Companies are as under:</w:t>
      </w:r>
    </w:p>
    <w:p w:rsidR="0045321F" w:rsidRPr="000176C3" w:rsidRDefault="0045321F" w:rsidP="0080257A">
      <w:pPr>
        <w:pStyle w:val="ListParagraph"/>
        <w:numPr>
          <w:ilvl w:val="0"/>
          <w:numId w:val="6"/>
        </w:numPr>
        <w:spacing w:line="240" w:lineRule="auto"/>
        <w:ind w:left="567" w:right="-1" w:hanging="2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hAnsi="Times New Roman" w:cs="Times New Roman"/>
          <w:color w:val="000000"/>
          <w:sz w:val="23"/>
          <w:szCs w:val="23"/>
        </w:rPr>
        <w:t>Non-disclosure of pre-existing diseases in the proposal form, thereby leading to repudiation of claim</w:t>
      </w:r>
    </w:p>
    <w:p w:rsidR="0045321F" w:rsidRPr="000176C3" w:rsidRDefault="0045321F" w:rsidP="0080257A">
      <w:pPr>
        <w:pStyle w:val="ListParagraph"/>
        <w:numPr>
          <w:ilvl w:val="0"/>
          <w:numId w:val="6"/>
        </w:numPr>
        <w:spacing w:line="240" w:lineRule="auto"/>
        <w:ind w:left="567" w:right="-1" w:hanging="2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hAnsi="Times New Roman" w:cs="Times New Roman"/>
          <w:color w:val="000000"/>
          <w:sz w:val="23"/>
          <w:szCs w:val="23"/>
        </w:rPr>
        <w:t>Hospitalization undergone by the Insured even though the ailment/disease does not require the same i.e., treatment could be done on a day care basis.</w:t>
      </w:r>
    </w:p>
    <w:p w:rsidR="0045321F" w:rsidRPr="000176C3" w:rsidRDefault="0045321F" w:rsidP="0080257A">
      <w:pPr>
        <w:pStyle w:val="ListParagraph"/>
        <w:numPr>
          <w:ilvl w:val="0"/>
          <w:numId w:val="6"/>
        </w:numPr>
        <w:spacing w:line="240" w:lineRule="auto"/>
        <w:ind w:left="567" w:right="-1" w:hanging="2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hAnsi="Times New Roman" w:cs="Times New Roman"/>
          <w:color w:val="000000"/>
          <w:sz w:val="23"/>
          <w:szCs w:val="23"/>
        </w:rPr>
        <w:t>Dispute over limits put on Room Rent, Doctor Consultation charges, Diagnostics etc. as per Policy conditions.</w:t>
      </w:r>
    </w:p>
    <w:p w:rsidR="0045321F" w:rsidRPr="000176C3" w:rsidRDefault="0045321F" w:rsidP="0080257A">
      <w:pPr>
        <w:pStyle w:val="ListParagraph"/>
        <w:numPr>
          <w:ilvl w:val="0"/>
          <w:numId w:val="6"/>
        </w:numPr>
        <w:spacing w:line="240" w:lineRule="auto"/>
        <w:ind w:left="567" w:right="-1" w:hanging="2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hAnsi="Times New Roman" w:cs="Times New Roman"/>
          <w:color w:val="000000"/>
          <w:sz w:val="23"/>
          <w:szCs w:val="23"/>
        </w:rPr>
        <w:t xml:space="preserve">Few treatments which are undergone by policyholder </w:t>
      </w:r>
      <w:proofErr w:type="gramStart"/>
      <w:r w:rsidRPr="000176C3">
        <w:rPr>
          <w:rFonts w:ascii="Times New Roman" w:hAnsi="Times New Roman" w:cs="Times New Roman"/>
          <w:color w:val="000000"/>
          <w:sz w:val="23"/>
          <w:szCs w:val="23"/>
        </w:rPr>
        <w:t>that are</w:t>
      </w:r>
      <w:proofErr w:type="gramEnd"/>
      <w:r w:rsidRPr="000176C3">
        <w:rPr>
          <w:rFonts w:ascii="Times New Roman" w:hAnsi="Times New Roman" w:cs="Times New Roman"/>
          <w:color w:val="000000"/>
          <w:sz w:val="23"/>
          <w:szCs w:val="23"/>
        </w:rPr>
        <w:t xml:space="preserve"> not yet recognized by Medical </w:t>
      </w:r>
      <w:bookmarkStart w:id="0" w:name="_GoBack"/>
      <w:bookmarkEnd w:id="0"/>
      <w:r w:rsidRPr="000176C3">
        <w:rPr>
          <w:rFonts w:ascii="Times New Roman" w:hAnsi="Times New Roman" w:cs="Times New Roman"/>
          <w:color w:val="000000"/>
          <w:sz w:val="23"/>
          <w:szCs w:val="23"/>
        </w:rPr>
        <w:t>Authorities.</w:t>
      </w:r>
    </w:p>
    <w:p w:rsidR="0045321F" w:rsidRPr="000176C3" w:rsidRDefault="0045321F" w:rsidP="0080257A">
      <w:pPr>
        <w:pStyle w:val="ListParagraph"/>
        <w:numPr>
          <w:ilvl w:val="0"/>
          <w:numId w:val="6"/>
        </w:numPr>
        <w:spacing w:line="240" w:lineRule="auto"/>
        <w:ind w:left="567" w:right="-1" w:hanging="2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hAnsi="Times New Roman" w:cs="Times New Roman"/>
          <w:color w:val="000000"/>
          <w:sz w:val="23"/>
          <w:szCs w:val="23"/>
        </w:rPr>
        <w:t>Treatments undertaken at Hospital blacklisted by the Insurance Company.</w:t>
      </w:r>
    </w:p>
    <w:p w:rsidR="0045321F" w:rsidRPr="000176C3" w:rsidRDefault="0045321F" w:rsidP="0080257A">
      <w:pPr>
        <w:pStyle w:val="ListParagraph"/>
        <w:numPr>
          <w:ilvl w:val="0"/>
          <w:numId w:val="6"/>
        </w:numPr>
        <w:spacing w:line="240" w:lineRule="auto"/>
        <w:ind w:left="567" w:right="-1" w:hanging="2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hAnsi="Times New Roman" w:cs="Times New Roman"/>
          <w:color w:val="000000"/>
          <w:sz w:val="23"/>
          <w:szCs w:val="23"/>
        </w:rPr>
        <w:t>Non-submission of documents by policyholder/claimant even after sending multiple reminders</w:t>
      </w:r>
    </w:p>
    <w:p w:rsidR="0045321F" w:rsidRDefault="0045321F" w:rsidP="00823581">
      <w:pPr>
        <w:pStyle w:val="ListParagraph"/>
        <w:numPr>
          <w:ilvl w:val="0"/>
          <w:numId w:val="6"/>
        </w:numPr>
        <w:spacing w:before="240" w:line="240" w:lineRule="auto"/>
        <w:ind w:left="567" w:right="-1" w:hanging="2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hAnsi="Times New Roman" w:cs="Times New Roman"/>
          <w:color w:val="000000"/>
          <w:sz w:val="23"/>
          <w:szCs w:val="23"/>
        </w:rPr>
        <w:t>Treatment undergone does not fall under the Terms and Conditions of the policy.</w:t>
      </w:r>
    </w:p>
    <w:p w:rsidR="000176C3" w:rsidRPr="000176C3" w:rsidRDefault="000176C3" w:rsidP="000176C3">
      <w:pPr>
        <w:pStyle w:val="ListParagraph"/>
        <w:spacing w:before="24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45321F" w:rsidRPr="000176C3" w:rsidRDefault="0045321F" w:rsidP="00823581">
      <w:pPr>
        <w:pStyle w:val="ListParagraph"/>
        <w:spacing w:before="240" w:line="240" w:lineRule="auto"/>
        <w:ind w:left="0"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76C3">
        <w:rPr>
          <w:rFonts w:ascii="Times New Roman" w:hAnsi="Times New Roman" w:cs="Times New Roman"/>
          <w:b/>
          <w:bCs/>
          <w:color w:val="000000"/>
          <w:sz w:val="23"/>
          <w:szCs w:val="23"/>
        </w:rPr>
        <w:t>(d):</w:t>
      </w:r>
      <w:r w:rsidRPr="000176C3">
        <w:rPr>
          <w:rFonts w:ascii="Times New Roman" w:hAnsi="Times New Roman" w:cs="Times New Roman"/>
          <w:color w:val="000000"/>
          <w:sz w:val="23"/>
          <w:szCs w:val="23"/>
        </w:rPr>
        <w:t xml:space="preserve"> The number of Health Insurance claim related complaints (including partly rejected claims) registered </w:t>
      </w:r>
      <w:proofErr w:type="gramStart"/>
      <w:r w:rsidRPr="000176C3">
        <w:rPr>
          <w:rFonts w:ascii="Times New Roman" w:hAnsi="Times New Roman" w:cs="Times New Roman"/>
          <w:color w:val="000000"/>
          <w:sz w:val="23"/>
          <w:szCs w:val="23"/>
        </w:rPr>
        <w:t>against</w:t>
      </w:r>
      <w:proofErr w:type="gramEnd"/>
      <w:r w:rsidRPr="000176C3">
        <w:rPr>
          <w:rFonts w:ascii="Times New Roman" w:hAnsi="Times New Roman" w:cs="Times New Roman"/>
          <w:color w:val="000000"/>
          <w:sz w:val="23"/>
          <w:szCs w:val="23"/>
        </w:rPr>
        <w:t xml:space="preserve"> Private Sector Insurers and Public Sector insurance companies during the last five Financial Years, as per IRDAI’s Integrated Grievance Management System (IGMS) data is as under:</w:t>
      </w:r>
    </w:p>
    <w:tbl>
      <w:tblPr>
        <w:tblStyle w:val="TableGrid"/>
        <w:tblW w:w="8964" w:type="dxa"/>
        <w:jc w:val="center"/>
        <w:tblInd w:w="2123" w:type="dxa"/>
        <w:tblLayout w:type="fixed"/>
        <w:tblLook w:val="04A0"/>
      </w:tblPr>
      <w:tblGrid>
        <w:gridCol w:w="2084"/>
        <w:gridCol w:w="3053"/>
        <w:gridCol w:w="2693"/>
        <w:gridCol w:w="1134"/>
      </w:tblGrid>
      <w:tr w:rsidR="0045321F" w:rsidRPr="000176C3" w:rsidTr="0087505D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Financial Year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Complaints against Public Sector Insurers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Complaints against Private Sector Insurers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Total</w:t>
            </w:r>
          </w:p>
        </w:tc>
      </w:tr>
      <w:tr w:rsidR="0045321F" w:rsidRPr="000176C3" w:rsidTr="0087505D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2014-15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5829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5355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11184</w:t>
            </w:r>
          </w:p>
        </w:tc>
      </w:tr>
      <w:tr w:rsidR="0045321F" w:rsidRPr="000176C3" w:rsidTr="0087505D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2015-16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6266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5615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11881</w:t>
            </w:r>
          </w:p>
        </w:tc>
      </w:tr>
      <w:tr w:rsidR="0045321F" w:rsidRPr="000176C3" w:rsidTr="0087505D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2016-17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7296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7204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14500</w:t>
            </w:r>
          </w:p>
        </w:tc>
      </w:tr>
      <w:tr w:rsidR="0045321F" w:rsidRPr="000176C3" w:rsidTr="0087505D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2017-18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9536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5433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14969</w:t>
            </w:r>
          </w:p>
        </w:tc>
      </w:tr>
      <w:tr w:rsidR="0045321F" w:rsidRPr="000176C3" w:rsidTr="0087505D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2018-19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8512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7763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21F" w:rsidRPr="000176C3" w:rsidRDefault="0045321F" w:rsidP="0080257A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/>
                <w:lang w:bidi="hi-IN"/>
              </w:rPr>
            </w:pPr>
            <w:r w:rsidRPr="000176C3">
              <w:rPr>
                <w:rFonts w:ascii="Times New Roman" w:eastAsiaTheme="minorEastAsia" w:hAnsi="Times New Roman" w:cs="Times New Roman"/>
                <w:color w:val="000000"/>
                <w:lang w:bidi="hi-IN"/>
              </w:rPr>
              <w:t>16275</w:t>
            </w:r>
          </w:p>
        </w:tc>
      </w:tr>
    </w:tbl>
    <w:p w:rsidR="00DC1326" w:rsidRPr="000176C3" w:rsidRDefault="0080257A" w:rsidP="00823581">
      <w:pPr>
        <w:spacing w:before="240" w:after="0" w:line="240" w:lineRule="auto"/>
        <w:ind w:right="-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176C3">
        <w:rPr>
          <w:rFonts w:ascii="Times New Roman" w:hAnsi="Times New Roman" w:cs="Times New Roman"/>
          <w:b/>
          <w:sz w:val="23"/>
          <w:szCs w:val="23"/>
        </w:rPr>
        <w:t>*****</w:t>
      </w:r>
    </w:p>
    <w:sectPr w:rsidR="00DC1326" w:rsidRPr="000176C3" w:rsidSect="000176C3">
      <w:pgSz w:w="12240" w:h="15840"/>
      <w:pgMar w:top="284" w:right="907" w:bottom="142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BD9"/>
    <w:multiLevelType w:val="hybridMultilevel"/>
    <w:tmpl w:val="B8CE2BE2"/>
    <w:lvl w:ilvl="0" w:tplc="45D6B60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6BB60FF"/>
    <w:multiLevelType w:val="hybridMultilevel"/>
    <w:tmpl w:val="D64EEDD0"/>
    <w:lvl w:ilvl="0" w:tplc="0409001B">
      <w:start w:val="1"/>
      <w:numFmt w:val="lowerRoman"/>
      <w:lvlText w:val="%1."/>
      <w:lvlJc w:val="righ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37840988"/>
    <w:multiLevelType w:val="hybridMultilevel"/>
    <w:tmpl w:val="CA3E636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8561D"/>
    <w:multiLevelType w:val="hybridMultilevel"/>
    <w:tmpl w:val="D9B69546"/>
    <w:lvl w:ilvl="0" w:tplc="BC4405E0">
      <w:start w:val="1"/>
      <w:numFmt w:val="lowerLetter"/>
      <w:lvlText w:val="(%1)"/>
      <w:lvlJc w:val="left"/>
      <w:pPr>
        <w:ind w:left="768" w:hanging="408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91F7A"/>
    <w:multiLevelType w:val="hybridMultilevel"/>
    <w:tmpl w:val="61C427D8"/>
    <w:lvl w:ilvl="0" w:tplc="DA101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03007"/>
    <w:multiLevelType w:val="hybridMultilevel"/>
    <w:tmpl w:val="866A39DA"/>
    <w:lvl w:ilvl="0" w:tplc="2B585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1752"/>
    <w:rsid w:val="000176C3"/>
    <w:rsid w:val="00044CA0"/>
    <w:rsid w:val="0009535C"/>
    <w:rsid w:val="000D7222"/>
    <w:rsid w:val="000E5C0B"/>
    <w:rsid w:val="000E62A5"/>
    <w:rsid w:val="00165907"/>
    <w:rsid w:val="00195278"/>
    <w:rsid w:val="002574AF"/>
    <w:rsid w:val="00307D8B"/>
    <w:rsid w:val="00367BF4"/>
    <w:rsid w:val="00387F53"/>
    <w:rsid w:val="00393801"/>
    <w:rsid w:val="003C3BB1"/>
    <w:rsid w:val="00412183"/>
    <w:rsid w:val="00432966"/>
    <w:rsid w:val="0045321F"/>
    <w:rsid w:val="004A3B0E"/>
    <w:rsid w:val="00523354"/>
    <w:rsid w:val="0052704B"/>
    <w:rsid w:val="00536084"/>
    <w:rsid w:val="005B0D33"/>
    <w:rsid w:val="005E1974"/>
    <w:rsid w:val="006B7606"/>
    <w:rsid w:val="006B7F03"/>
    <w:rsid w:val="006E4EAC"/>
    <w:rsid w:val="007975A3"/>
    <w:rsid w:val="0080257A"/>
    <w:rsid w:val="00823581"/>
    <w:rsid w:val="00871752"/>
    <w:rsid w:val="0087505D"/>
    <w:rsid w:val="008D4D75"/>
    <w:rsid w:val="008E4A7F"/>
    <w:rsid w:val="009213B7"/>
    <w:rsid w:val="009A5600"/>
    <w:rsid w:val="00AB1218"/>
    <w:rsid w:val="00B61A52"/>
    <w:rsid w:val="00BB007F"/>
    <w:rsid w:val="00BC0F81"/>
    <w:rsid w:val="00C03E06"/>
    <w:rsid w:val="00C3162B"/>
    <w:rsid w:val="00CD28C1"/>
    <w:rsid w:val="00DB2D49"/>
    <w:rsid w:val="00DC1326"/>
    <w:rsid w:val="00DF7597"/>
    <w:rsid w:val="00E27C0D"/>
    <w:rsid w:val="00ED1652"/>
    <w:rsid w:val="00F3552C"/>
    <w:rsid w:val="00F7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List Paragraph1,O5,Para_sk,d_bodyb,List_Paragraph,Multilevel para_II,1.1.1_List Paragraph,Citation List,Action list,List Paragraph (numbered (a)),References,MC Paragraphe Liste,Paragraph,List Paragraph2,WS5,06 List Paragraph"/>
    <w:basedOn w:val="Normal"/>
    <w:link w:val="ListParagraphChar"/>
    <w:uiPriority w:val="34"/>
    <w:qFormat/>
    <w:rsid w:val="00871752"/>
    <w:pPr>
      <w:ind w:left="720"/>
      <w:contextualSpacing/>
    </w:pPr>
    <w:rPr>
      <w:szCs w:val="20"/>
      <w:lang w:bidi="hi-IN"/>
    </w:rPr>
  </w:style>
  <w:style w:type="paragraph" w:styleId="BodyText">
    <w:name w:val="Body Text"/>
    <w:basedOn w:val="Normal"/>
    <w:link w:val="BodyTextChar"/>
    <w:rsid w:val="00871752"/>
    <w:pPr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71752"/>
    <w:rPr>
      <w:rFonts w:ascii="Verdana" w:eastAsia="Times New Roman" w:hAnsi="Verdana" w:cs="Times New Roman"/>
      <w:sz w:val="24"/>
      <w:szCs w:val="20"/>
    </w:rPr>
  </w:style>
  <w:style w:type="character" w:customStyle="1" w:styleId="ListParagraphChar">
    <w:name w:val="List Paragraph Char"/>
    <w:aliases w:val="Resume Title Char,List Paragraph1 Char,O5 Char,Para_sk Char,d_bodyb Char,List_Paragraph Char,Multilevel para_II Char,1.1.1_List Paragraph Char,Citation List Char,Action list Char,List Paragraph (numbered (a)) Char,References Char"/>
    <w:link w:val="ListParagraph"/>
    <w:uiPriority w:val="34"/>
    <w:qFormat/>
    <w:locked/>
    <w:rsid w:val="00871752"/>
    <w:rPr>
      <w:szCs w:val="20"/>
      <w:lang w:bidi="hi-IN"/>
    </w:rPr>
  </w:style>
  <w:style w:type="table" w:styleId="TableGrid">
    <w:name w:val="Table Grid"/>
    <w:basedOn w:val="TableNormal"/>
    <w:uiPriority w:val="39"/>
    <w:rsid w:val="00ED165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C0F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403</Words>
  <Characters>2347</Characters>
  <Application>Microsoft Office Word</Application>
  <DocSecurity>0</DocSecurity>
  <Lines>195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cp:lastPrinted>2020-03-16T09:49:00Z</cp:lastPrinted>
  <dcterms:created xsi:type="dcterms:W3CDTF">2019-07-16T21:53:00Z</dcterms:created>
  <dcterms:modified xsi:type="dcterms:W3CDTF">2020-03-16T09:53:00Z</dcterms:modified>
</cp:coreProperties>
</file>