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7BA" w:rsidRPr="0013204B" w:rsidRDefault="004857BA" w:rsidP="00065747">
      <w:pPr>
        <w:spacing w:after="0" w:line="240" w:lineRule="auto"/>
        <w:ind w:left="-993"/>
        <w:jc w:val="center"/>
        <w:rPr>
          <w:rFonts w:ascii="Arial" w:hAnsi="Arial" w:cs="Arial"/>
          <w:sz w:val="28"/>
          <w:szCs w:val="28"/>
        </w:rPr>
      </w:pPr>
    </w:p>
    <w:p w:rsidR="00BE7371" w:rsidRPr="00E75D15" w:rsidRDefault="00BE7371" w:rsidP="00065747">
      <w:pPr>
        <w:spacing w:after="0" w:line="240" w:lineRule="auto"/>
        <w:ind w:left="-993"/>
        <w:jc w:val="center"/>
        <w:rPr>
          <w:rFonts w:ascii="Arial" w:hAnsi="Arial" w:cs="Arial"/>
          <w:sz w:val="24"/>
          <w:szCs w:val="24"/>
        </w:rPr>
      </w:pPr>
      <w:r w:rsidRPr="00E75D15">
        <w:rPr>
          <w:rFonts w:ascii="Arial" w:hAnsi="Arial" w:cs="Arial"/>
          <w:sz w:val="24"/>
          <w:szCs w:val="24"/>
        </w:rPr>
        <w:t>GOVERNMENT OF INDIA</w:t>
      </w:r>
    </w:p>
    <w:p w:rsidR="00BE7371" w:rsidRPr="00E75D15" w:rsidRDefault="00BE7371" w:rsidP="00065747">
      <w:pPr>
        <w:spacing w:after="0" w:line="240" w:lineRule="auto"/>
        <w:ind w:left="-993"/>
        <w:jc w:val="center"/>
        <w:rPr>
          <w:rFonts w:ascii="Arial" w:hAnsi="Arial" w:cs="Arial"/>
          <w:sz w:val="24"/>
          <w:szCs w:val="24"/>
        </w:rPr>
      </w:pPr>
      <w:r w:rsidRPr="00E75D15">
        <w:rPr>
          <w:rFonts w:ascii="Arial" w:hAnsi="Arial" w:cs="Arial"/>
          <w:sz w:val="24"/>
          <w:szCs w:val="24"/>
        </w:rPr>
        <w:t>MINISTRY OF FINANCE</w:t>
      </w:r>
    </w:p>
    <w:p w:rsidR="00BE7371" w:rsidRPr="00E75D15" w:rsidRDefault="00BE7371" w:rsidP="00065747">
      <w:pPr>
        <w:spacing w:after="0" w:line="240" w:lineRule="auto"/>
        <w:ind w:left="-993"/>
        <w:jc w:val="center"/>
        <w:rPr>
          <w:rFonts w:ascii="Arial" w:hAnsi="Arial" w:cs="Arial"/>
          <w:sz w:val="24"/>
          <w:szCs w:val="24"/>
        </w:rPr>
      </w:pPr>
      <w:r w:rsidRPr="00E75D15">
        <w:rPr>
          <w:rFonts w:ascii="Arial" w:hAnsi="Arial" w:cs="Arial"/>
          <w:sz w:val="24"/>
          <w:szCs w:val="24"/>
        </w:rPr>
        <w:t>DEPARTMENT OF FINANCIAL SERVICES</w:t>
      </w:r>
    </w:p>
    <w:p w:rsidR="00BE7371" w:rsidRPr="00E75D15" w:rsidRDefault="00BE7371" w:rsidP="00065747">
      <w:pPr>
        <w:spacing w:after="0" w:line="240" w:lineRule="auto"/>
        <w:ind w:left="-993"/>
        <w:jc w:val="center"/>
        <w:rPr>
          <w:rFonts w:ascii="Arial" w:hAnsi="Arial" w:cs="Arial"/>
          <w:b/>
          <w:bCs/>
          <w:sz w:val="24"/>
          <w:szCs w:val="24"/>
        </w:rPr>
      </w:pPr>
      <w:r w:rsidRPr="00E75D15">
        <w:rPr>
          <w:rFonts w:ascii="Arial" w:hAnsi="Arial" w:cs="Arial"/>
          <w:b/>
          <w:bCs/>
          <w:sz w:val="24"/>
          <w:szCs w:val="24"/>
        </w:rPr>
        <w:t>RAJYA SABHA</w:t>
      </w:r>
    </w:p>
    <w:p w:rsidR="00BE7371" w:rsidRPr="00E75D15" w:rsidRDefault="00BE7371" w:rsidP="00065747">
      <w:pPr>
        <w:spacing w:after="0" w:line="240" w:lineRule="auto"/>
        <w:ind w:left="-993"/>
        <w:jc w:val="center"/>
        <w:rPr>
          <w:rFonts w:ascii="Arial" w:hAnsi="Arial" w:cs="Arial"/>
          <w:sz w:val="24"/>
          <w:szCs w:val="24"/>
        </w:rPr>
      </w:pPr>
      <w:r w:rsidRPr="00E75D15">
        <w:rPr>
          <w:rFonts w:ascii="Arial" w:hAnsi="Arial" w:cs="Arial"/>
          <w:b/>
          <w:bCs/>
          <w:sz w:val="24"/>
          <w:szCs w:val="24"/>
        </w:rPr>
        <w:t>UNSTARRED QUESTION NO-</w:t>
      </w:r>
      <w:r w:rsidR="001109EE" w:rsidRPr="009B040A">
        <w:rPr>
          <w:rFonts w:ascii="Arial" w:eastAsia="Times New Roman" w:hAnsi="Arial" w:cs="Arial"/>
          <w:color w:val="231F20"/>
          <w:sz w:val="24"/>
          <w:szCs w:val="24"/>
        </w:rPr>
        <w:t>†</w:t>
      </w:r>
      <w:r w:rsidR="00065747" w:rsidRPr="00E75D15">
        <w:rPr>
          <w:rFonts w:ascii="Arial" w:hAnsi="Arial" w:cs="Arial"/>
          <w:b/>
          <w:bCs/>
          <w:sz w:val="24"/>
          <w:szCs w:val="24"/>
        </w:rPr>
        <w:t>2461</w:t>
      </w:r>
    </w:p>
    <w:p w:rsidR="00BE7371" w:rsidRPr="00E75D15" w:rsidRDefault="00BE7371" w:rsidP="00065747">
      <w:pPr>
        <w:spacing w:after="0" w:line="240" w:lineRule="auto"/>
        <w:rPr>
          <w:rFonts w:ascii="Arial" w:hAnsi="Arial" w:cs="Arial"/>
          <w:sz w:val="24"/>
          <w:szCs w:val="24"/>
        </w:rPr>
      </w:pPr>
      <w:r w:rsidRPr="00E75D15">
        <w:rPr>
          <w:rFonts w:ascii="Arial" w:hAnsi="Arial" w:cs="Arial"/>
          <w:sz w:val="24"/>
          <w:szCs w:val="24"/>
        </w:rPr>
        <w:t xml:space="preserve">                                </w:t>
      </w:r>
      <w:r w:rsidR="00065747" w:rsidRPr="00E75D15">
        <w:rPr>
          <w:rFonts w:ascii="Arial" w:hAnsi="Arial" w:cs="Arial"/>
          <w:sz w:val="24"/>
          <w:szCs w:val="24"/>
        </w:rPr>
        <w:t xml:space="preserve">           </w:t>
      </w:r>
      <w:r w:rsidRPr="00E75D15">
        <w:rPr>
          <w:rFonts w:ascii="Arial" w:hAnsi="Arial" w:cs="Arial"/>
          <w:sz w:val="24"/>
          <w:szCs w:val="24"/>
        </w:rPr>
        <w:t xml:space="preserve">ANSWER ON </w:t>
      </w:r>
      <w:r w:rsidR="00065747" w:rsidRPr="00E75D15">
        <w:rPr>
          <w:rFonts w:ascii="Arial" w:hAnsi="Arial" w:cs="Arial"/>
          <w:sz w:val="24"/>
          <w:szCs w:val="24"/>
        </w:rPr>
        <w:t>10</w:t>
      </w:r>
      <w:r w:rsidRPr="00E75D15">
        <w:rPr>
          <w:rFonts w:ascii="Arial" w:hAnsi="Arial" w:cs="Arial"/>
          <w:sz w:val="24"/>
          <w:szCs w:val="24"/>
        </w:rPr>
        <w:t>.</w:t>
      </w:r>
      <w:r w:rsidR="00065747" w:rsidRPr="00E75D15">
        <w:rPr>
          <w:rFonts w:ascii="Arial" w:hAnsi="Arial" w:cs="Arial"/>
          <w:sz w:val="24"/>
          <w:szCs w:val="24"/>
        </w:rPr>
        <w:t>1</w:t>
      </w:r>
      <w:r w:rsidR="00F45545" w:rsidRPr="00E75D15">
        <w:rPr>
          <w:rFonts w:ascii="Arial" w:hAnsi="Arial" w:cs="Arial"/>
          <w:sz w:val="24"/>
          <w:szCs w:val="24"/>
        </w:rPr>
        <w:t>2</w:t>
      </w:r>
      <w:r w:rsidRPr="00E75D15">
        <w:rPr>
          <w:rFonts w:ascii="Arial" w:hAnsi="Arial" w:cs="Arial"/>
          <w:sz w:val="24"/>
          <w:szCs w:val="24"/>
        </w:rPr>
        <w:t>.2019</w:t>
      </w:r>
    </w:p>
    <w:p w:rsidR="00065747" w:rsidRPr="00E75D15" w:rsidRDefault="00BE7371" w:rsidP="004857BA">
      <w:pPr>
        <w:spacing w:after="0" w:line="240" w:lineRule="auto"/>
        <w:rPr>
          <w:rFonts w:ascii="Arial" w:hAnsi="Arial" w:cs="Arial"/>
          <w:b/>
          <w:bCs/>
          <w:sz w:val="14"/>
          <w:szCs w:val="14"/>
        </w:rPr>
      </w:pPr>
      <w:r w:rsidRPr="00E75D15">
        <w:rPr>
          <w:rFonts w:ascii="Arial" w:hAnsi="Arial" w:cs="Arial"/>
          <w:b/>
          <w:bCs/>
          <w:sz w:val="24"/>
          <w:szCs w:val="24"/>
        </w:rPr>
        <w:t xml:space="preserve">       </w:t>
      </w:r>
    </w:p>
    <w:p w:rsidR="00065747" w:rsidRPr="00E75D15" w:rsidRDefault="00065747" w:rsidP="00065747">
      <w:pPr>
        <w:rPr>
          <w:rFonts w:ascii="Arial" w:hAnsi="Arial" w:cs="Arial"/>
          <w:b/>
          <w:bCs/>
          <w:sz w:val="24"/>
          <w:szCs w:val="24"/>
        </w:rPr>
      </w:pPr>
      <w:r w:rsidRPr="00E75D15">
        <w:rPr>
          <w:rFonts w:ascii="Arial" w:hAnsi="Arial" w:cs="Arial"/>
          <w:b/>
          <w:bCs/>
          <w:sz w:val="24"/>
          <w:szCs w:val="24"/>
        </w:rPr>
        <w:t xml:space="preserve">                Investment of investors’ money in share market by LIC</w:t>
      </w:r>
    </w:p>
    <w:p w:rsidR="00065747" w:rsidRPr="00E75D15" w:rsidRDefault="001109EE" w:rsidP="00065747">
      <w:pPr>
        <w:autoSpaceDE w:val="0"/>
        <w:autoSpaceDN w:val="0"/>
        <w:adjustRightInd w:val="0"/>
        <w:spacing w:after="0"/>
        <w:ind w:left="709" w:hanging="709"/>
        <w:rPr>
          <w:rFonts w:ascii="Arial" w:hAnsi="Arial" w:cs="Arial"/>
          <w:sz w:val="24"/>
          <w:szCs w:val="24"/>
        </w:rPr>
      </w:pPr>
      <w:r w:rsidRPr="009B040A">
        <w:rPr>
          <w:rFonts w:ascii="Arial" w:eastAsia="Times New Roman" w:hAnsi="Arial" w:cs="Arial"/>
          <w:color w:val="231F20"/>
          <w:sz w:val="24"/>
          <w:szCs w:val="24"/>
        </w:rPr>
        <w:t>†</w:t>
      </w:r>
      <w:r w:rsidR="00065747" w:rsidRPr="00E75D15">
        <w:rPr>
          <w:rFonts w:ascii="Arial" w:hAnsi="Arial" w:cs="Arial"/>
          <w:sz w:val="24"/>
          <w:szCs w:val="24"/>
        </w:rPr>
        <w:t>2461</w:t>
      </w:r>
      <w:r w:rsidR="00BE7371" w:rsidRPr="00E75D15">
        <w:rPr>
          <w:rFonts w:ascii="Arial" w:hAnsi="Arial" w:cs="Arial"/>
          <w:sz w:val="24"/>
          <w:szCs w:val="24"/>
        </w:rPr>
        <w:t xml:space="preserve">. </w:t>
      </w:r>
      <w:r w:rsidR="00065747" w:rsidRPr="00E75D15">
        <w:rPr>
          <w:rFonts w:ascii="Arial" w:hAnsi="Arial" w:cs="Arial"/>
          <w:sz w:val="24"/>
          <w:szCs w:val="24"/>
        </w:rPr>
        <w:t>SMT. SAMPATIYA UIKEY:</w:t>
      </w:r>
    </w:p>
    <w:p w:rsidR="00065747" w:rsidRPr="00E75D15" w:rsidRDefault="00065747" w:rsidP="00065747">
      <w:pPr>
        <w:autoSpaceDE w:val="0"/>
        <w:autoSpaceDN w:val="0"/>
        <w:adjustRightInd w:val="0"/>
        <w:spacing w:after="0"/>
        <w:ind w:left="709" w:hanging="142"/>
        <w:rPr>
          <w:rFonts w:ascii="Arial" w:hAnsi="Arial" w:cs="Arial"/>
          <w:sz w:val="24"/>
          <w:szCs w:val="24"/>
        </w:rPr>
      </w:pPr>
      <w:r w:rsidRPr="00E75D15">
        <w:rPr>
          <w:rFonts w:ascii="Arial" w:hAnsi="Arial" w:cs="Arial"/>
          <w:sz w:val="24"/>
          <w:szCs w:val="24"/>
        </w:rPr>
        <w:t xml:space="preserve">  </w:t>
      </w:r>
      <w:r w:rsidR="001109EE">
        <w:rPr>
          <w:rFonts w:ascii="Arial" w:hAnsi="Arial" w:cs="Arial"/>
          <w:sz w:val="24"/>
          <w:szCs w:val="24"/>
        </w:rPr>
        <w:t xml:space="preserve"> </w:t>
      </w:r>
      <w:r w:rsidRPr="00E75D15">
        <w:rPr>
          <w:rFonts w:ascii="Arial" w:hAnsi="Arial" w:cs="Arial"/>
          <w:sz w:val="24"/>
          <w:szCs w:val="24"/>
        </w:rPr>
        <w:t>SMT. CHHAYA VERMA:</w:t>
      </w:r>
    </w:p>
    <w:p w:rsidR="00065747" w:rsidRPr="00E75D15" w:rsidRDefault="001109EE" w:rsidP="00065747">
      <w:pPr>
        <w:autoSpaceDE w:val="0"/>
        <w:autoSpaceDN w:val="0"/>
        <w:adjustRightInd w:val="0"/>
        <w:spacing w:after="0"/>
        <w:ind w:left="709" w:hanging="142"/>
        <w:rPr>
          <w:rFonts w:ascii="Arial" w:hAnsi="Arial" w:cs="Arial"/>
          <w:sz w:val="24"/>
          <w:szCs w:val="24"/>
        </w:rPr>
      </w:pPr>
      <w:r>
        <w:rPr>
          <w:rFonts w:ascii="Arial" w:hAnsi="Arial" w:cs="Arial"/>
          <w:sz w:val="24"/>
          <w:szCs w:val="24"/>
        </w:rPr>
        <w:t xml:space="preserve"> </w:t>
      </w:r>
      <w:r w:rsidR="00065747" w:rsidRPr="00E75D15">
        <w:rPr>
          <w:rFonts w:ascii="Arial" w:hAnsi="Arial" w:cs="Arial"/>
          <w:sz w:val="24"/>
          <w:szCs w:val="24"/>
        </w:rPr>
        <w:t xml:space="preserve">  CH. SUKHRAM SINGH YADAV:</w:t>
      </w:r>
    </w:p>
    <w:p w:rsidR="00BE7371" w:rsidRPr="00E75D15" w:rsidRDefault="00BE7371" w:rsidP="001B3528">
      <w:pPr>
        <w:autoSpaceDE w:val="0"/>
        <w:autoSpaceDN w:val="0"/>
        <w:adjustRightInd w:val="0"/>
        <w:spacing w:after="0" w:line="240" w:lineRule="auto"/>
        <w:ind w:left="142" w:right="-17" w:hanging="720"/>
        <w:jc w:val="both"/>
        <w:rPr>
          <w:rFonts w:ascii="Arial" w:hAnsi="Arial" w:cs="Arial"/>
          <w:sz w:val="14"/>
          <w:szCs w:val="14"/>
        </w:rPr>
      </w:pPr>
    </w:p>
    <w:p w:rsidR="00BE7371" w:rsidRPr="00E75D15" w:rsidRDefault="00BE7371" w:rsidP="001B3528">
      <w:pPr>
        <w:autoSpaceDE w:val="0"/>
        <w:autoSpaceDN w:val="0"/>
        <w:adjustRightInd w:val="0"/>
        <w:spacing w:after="0" w:line="240" w:lineRule="auto"/>
        <w:ind w:right="-17"/>
        <w:jc w:val="both"/>
        <w:rPr>
          <w:rFonts w:ascii="Arial" w:hAnsi="Arial" w:cs="Arial"/>
          <w:color w:val="231F20"/>
          <w:sz w:val="24"/>
          <w:szCs w:val="24"/>
        </w:rPr>
      </w:pPr>
      <w:r w:rsidRPr="00E75D15">
        <w:rPr>
          <w:rFonts w:ascii="Arial" w:hAnsi="Arial" w:cs="Arial"/>
          <w:color w:val="231F20"/>
          <w:sz w:val="24"/>
          <w:szCs w:val="24"/>
        </w:rPr>
        <w:t xml:space="preserve">Will the Minister of FINANCE be pleased to </w:t>
      </w:r>
      <w:proofErr w:type="gramStart"/>
      <w:r w:rsidRPr="00E75D15">
        <w:rPr>
          <w:rFonts w:ascii="Arial" w:hAnsi="Arial" w:cs="Arial"/>
          <w:color w:val="231F20"/>
          <w:sz w:val="24"/>
          <w:szCs w:val="24"/>
        </w:rPr>
        <w:t>state:</w:t>
      </w:r>
      <w:proofErr w:type="gramEnd"/>
    </w:p>
    <w:p w:rsidR="001B3528" w:rsidRPr="00E75D15" w:rsidRDefault="001B3528" w:rsidP="001B3528">
      <w:pPr>
        <w:autoSpaceDE w:val="0"/>
        <w:autoSpaceDN w:val="0"/>
        <w:adjustRightInd w:val="0"/>
        <w:spacing w:after="0" w:line="240" w:lineRule="auto"/>
        <w:ind w:right="-17"/>
        <w:jc w:val="both"/>
        <w:rPr>
          <w:rFonts w:ascii="Arial" w:hAnsi="Arial" w:cs="Arial"/>
          <w:color w:val="231F20"/>
          <w:sz w:val="14"/>
          <w:szCs w:val="14"/>
        </w:rPr>
      </w:pPr>
    </w:p>
    <w:p w:rsidR="001B3528" w:rsidRPr="00E75D15" w:rsidRDefault="001B3528" w:rsidP="00E75D15">
      <w:pPr>
        <w:pStyle w:val="ListParagraph"/>
        <w:numPr>
          <w:ilvl w:val="0"/>
          <w:numId w:val="8"/>
        </w:numPr>
        <w:autoSpaceDE w:val="0"/>
        <w:autoSpaceDN w:val="0"/>
        <w:adjustRightInd w:val="0"/>
        <w:ind w:left="426" w:right="-563" w:hanging="426"/>
        <w:jc w:val="both"/>
        <w:rPr>
          <w:rFonts w:ascii="Arial" w:hAnsi="Arial" w:cs="Arial"/>
        </w:rPr>
      </w:pPr>
      <w:r w:rsidRPr="00E75D15">
        <w:rPr>
          <w:rFonts w:ascii="Arial" w:hAnsi="Arial" w:cs="Arial"/>
        </w:rPr>
        <w:t xml:space="preserve">whether it is a fact that the money deposited by the investors in Life Insurance Corporation of India and other financial institutions is being invested in the companies running in losses; </w:t>
      </w:r>
    </w:p>
    <w:p w:rsidR="001B3528" w:rsidRPr="00E75D15" w:rsidRDefault="001B3528" w:rsidP="004857BA">
      <w:pPr>
        <w:pStyle w:val="ListParagraph"/>
        <w:autoSpaceDE w:val="0"/>
        <w:autoSpaceDN w:val="0"/>
        <w:adjustRightInd w:val="0"/>
        <w:ind w:left="1276" w:right="-279"/>
        <w:jc w:val="both"/>
        <w:rPr>
          <w:rFonts w:ascii="Arial" w:hAnsi="Arial" w:cs="Arial"/>
          <w:sz w:val="14"/>
          <w:szCs w:val="14"/>
        </w:rPr>
      </w:pPr>
    </w:p>
    <w:p w:rsidR="001B3528" w:rsidRPr="00E75D15" w:rsidRDefault="001B3528" w:rsidP="00E75D15">
      <w:pPr>
        <w:autoSpaceDE w:val="0"/>
        <w:autoSpaceDN w:val="0"/>
        <w:adjustRightInd w:val="0"/>
        <w:spacing w:after="0" w:line="240" w:lineRule="auto"/>
        <w:ind w:left="426" w:right="-563" w:hanging="426"/>
        <w:jc w:val="both"/>
        <w:rPr>
          <w:rFonts w:ascii="Arial" w:hAnsi="Arial" w:cs="Arial"/>
          <w:sz w:val="24"/>
          <w:szCs w:val="24"/>
        </w:rPr>
      </w:pPr>
      <w:r w:rsidRPr="00E75D15">
        <w:rPr>
          <w:rFonts w:ascii="Arial" w:hAnsi="Arial" w:cs="Arial"/>
          <w:sz w:val="24"/>
          <w:szCs w:val="24"/>
        </w:rPr>
        <w:t xml:space="preserve">(b)  </w:t>
      </w:r>
      <w:proofErr w:type="gramStart"/>
      <w:r w:rsidRPr="00E75D15">
        <w:rPr>
          <w:rFonts w:ascii="Arial" w:hAnsi="Arial" w:cs="Arial"/>
          <w:sz w:val="24"/>
          <w:szCs w:val="24"/>
        </w:rPr>
        <w:t>names</w:t>
      </w:r>
      <w:proofErr w:type="gramEnd"/>
      <w:r w:rsidRPr="00E75D15">
        <w:rPr>
          <w:rFonts w:ascii="Arial" w:hAnsi="Arial" w:cs="Arial"/>
          <w:sz w:val="24"/>
          <w:szCs w:val="24"/>
        </w:rPr>
        <w:t xml:space="preserve"> of sectors of share market where the money of investors under savings schemes has been invested by LIC Housing Finance Limited; </w:t>
      </w:r>
    </w:p>
    <w:p w:rsidR="001B3528" w:rsidRPr="00E75D15" w:rsidRDefault="001B3528" w:rsidP="004857BA">
      <w:pPr>
        <w:autoSpaceDE w:val="0"/>
        <w:autoSpaceDN w:val="0"/>
        <w:adjustRightInd w:val="0"/>
        <w:spacing w:after="0" w:line="240" w:lineRule="auto"/>
        <w:ind w:left="1276" w:right="-279" w:hanging="426"/>
        <w:jc w:val="both"/>
        <w:rPr>
          <w:rFonts w:ascii="Arial" w:hAnsi="Arial" w:cs="Arial"/>
          <w:sz w:val="14"/>
          <w:szCs w:val="14"/>
        </w:rPr>
      </w:pPr>
    </w:p>
    <w:p w:rsidR="001B3528" w:rsidRPr="00E75D15" w:rsidRDefault="001B3528" w:rsidP="004857BA">
      <w:pPr>
        <w:autoSpaceDE w:val="0"/>
        <w:autoSpaceDN w:val="0"/>
        <w:adjustRightInd w:val="0"/>
        <w:spacing w:after="0" w:line="240" w:lineRule="auto"/>
        <w:ind w:left="426" w:right="-279" w:hanging="426"/>
        <w:jc w:val="both"/>
        <w:rPr>
          <w:rFonts w:ascii="Arial" w:hAnsi="Arial" w:cs="Arial"/>
          <w:sz w:val="24"/>
          <w:szCs w:val="24"/>
        </w:rPr>
      </w:pPr>
      <w:r w:rsidRPr="00E75D15">
        <w:rPr>
          <w:rFonts w:ascii="Arial" w:hAnsi="Arial" w:cs="Arial"/>
          <w:sz w:val="24"/>
          <w:szCs w:val="24"/>
        </w:rPr>
        <w:t xml:space="preserve">(c)   </w:t>
      </w:r>
      <w:proofErr w:type="gramStart"/>
      <w:r w:rsidRPr="00E75D15">
        <w:rPr>
          <w:rFonts w:ascii="Arial" w:hAnsi="Arial" w:cs="Arial"/>
          <w:sz w:val="24"/>
          <w:szCs w:val="24"/>
        </w:rPr>
        <w:t>the</w:t>
      </w:r>
      <w:proofErr w:type="gramEnd"/>
      <w:r w:rsidRPr="00E75D15">
        <w:rPr>
          <w:rFonts w:ascii="Arial" w:hAnsi="Arial" w:cs="Arial"/>
          <w:sz w:val="24"/>
          <w:szCs w:val="24"/>
        </w:rPr>
        <w:t xml:space="preserve"> number of the companies out of them are running under loss; </w:t>
      </w:r>
    </w:p>
    <w:p w:rsidR="001B3528" w:rsidRPr="00E75D15" w:rsidRDefault="001B3528" w:rsidP="004857BA">
      <w:pPr>
        <w:autoSpaceDE w:val="0"/>
        <w:autoSpaceDN w:val="0"/>
        <w:adjustRightInd w:val="0"/>
        <w:spacing w:after="0" w:line="240" w:lineRule="auto"/>
        <w:ind w:left="1276" w:right="-279" w:hanging="426"/>
        <w:jc w:val="both"/>
        <w:rPr>
          <w:rFonts w:ascii="Arial" w:hAnsi="Arial" w:cs="Arial"/>
          <w:sz w:val="14"/>
          <w:szCs w:val="14"/>
        </w:rPr>
      </w:pPr>
    </w:p>
    <w:p w:rsidR="001B3528" w:rsidRPr="00E75D15" w:rsidRDefault="001B3528" w:rsidP="00E75D15">
      <w:pPr>
        <w:autoSpaceDE w:val="0"/>
        <w:autoSpaceDN w:val="0"/>
        <w:adjustRightInd w:val="0"/>
        <w:spacing w:after="0" w:line="240" w:lineRule="auto"/>
        <w:ind w:left="426" w:right="-563" w:hanging="426"/>
        <w:jc w:val="both"/>
        <w:rPr>
          <w:rFonts w:ascii="Arial" w:hAnsi="Arial" w:cs="Arial"/>
          <w:sz w:val="24"/>
          <w:szCs w:val="24"/>
        </w:rPr>
      </w:pPr>
      <w:r w:rsidRPr="00E75D15">
        <w:rPr>
          <w:rFonts w:ascii="Arial" w:hAnsi="Arial" w:cs="Arial"/>
          <w:sz w:val="24"/>
          <w:szCs w:val="24"/>
        </w:rPr>
        <w:t xml:space="preserve">(d)  </w:t>
      </w:r>
      <w:proofErr w:type="gramStart"/>
      <w:r w:rsidRPr="00E75D15">
        <w:rPr>
          <w:rFonts w:ascii="Arial" w:hAnsi="Arial" w:cs="Arial"/>
          <w:sz w:val="24"/>
          <w:szCs w:val="24"/>
        </w:rPr>
        <w:t>whether</w:t>
      </w:r>
      <w:proofErr w:type="gramEnd"/>
      <w:r w:rsidRPr="00E75D15">
        <w:rPr>
          <w:rFonts w:ascii="Arial" w:hAnsi="Arial" w:cs="Arial"/>
          <w:sz w:val="24"/>
          <w:szCs w:val="24"/>
        </w:rPr>
        <w:t xml:space="preserve"> there has been a laxity on part of regulatory institutions responsible for safety of savings of investors deposited in financial institutions; and </w:t>
      </w:r>
    </w:p>
    <w:p w:rsidR="001B3528" w:rsidRPr="00E75D15" w:rsidRDefault="001B3528" w:rsidP="004857BA">
      <w:pPr>
        <w:autoSpaceDE w:val="0"/>
        <w:autoSpaceDN w:val="0"/>
        <w:adjustRightInd w:val="0"/>
        <w:spacing w:after="0" w:line="240" w:lineRule="auto"/>
        <w:ind w:left="1276" w:right="-279" w:hanging="426"/>
        <w:jc w:val="both"/>
        <w:rPr>
          <w:rFonts w:ascii="Arial" w:hAnsi="Arial" w:cs="Arial"/>
          <w:sz w:val="14"/>
          <w:szCs w:val="14"/>
        </w:rPr>
      </w:pPr>
    </w:p>
    <w:p w:rsidR="001B3528" w:rsidRPr="00E75D15" w:rsidRDefault="001B3528" w:rsidP="00E75D15">
      <w:pPr>
        <w:autoSpaceDE w:val="0"/>
        <w:autoSpaceDN w:val="0"/>
        <w:adjustRightInd w:val="0"/>
        <w:spacing w:after="0" w:line="240" w:lineRule="auto"/>
        <w:ind w:left="426" w:right="-563" w:hanging="426"/>
        <w:jc w:val="both"/>
        <w:rPr>
          <w:rFonts w:ascii="Arial" w:hAnsi="Arial" w:cs="Arial"/>
          <w:sz w:val="24"/>
          <w:szCs w:val="24"/>
        </w:rPr>
      </w:pPr>
      <w:r w:rsidRPr="00E75D15">
        <w:rPr>
          <w:rFonts w:ascii="Arial" w:hAnsi="Arial" w:cs="Arial"/>
          <w:sz w:val="24"/>
          <w:szCs w:val="24"/>
        </w:rPr>
        <w:t xml:space="preserve">(e)  </w:t>
      </w:r>
      <w:proofErr w:type="gramStart"/>
      <w:r w:rsidRPr="00E75D15">
        <w:rPr>
          <w:rFonts w:ascii="Arial" w:hAnsi="Arial" w:cs="Arial"/>
          <w:sz w:val="24"/>
          <w:szCs w:val="24"/>
        </w:rPr>
        <w:t>the</w:t>
      </w:r>
      <w:proofErr w:type="gramEnd"/>
      <w:r w:rsidRPr="00E75D15">
        <w:rPr>
          <w:rFonts w:ascii="Arial" w:hAnsi="Arial" w:cs="Arial"/>
          <w:sz w:val="24"/>
          <w:szCs w:val="24"/>
        </w:rPr>
        <w:t xml:space="preserve"> steps taken by the Ministry to ensure guaranteed refund of the money of investors deposited in banks and financial institutions?</w:t>
      </w:r>
    </w:p>
    <w:p w:rsidR="00BE7371" w:rsidRPr="00E75D15" w:rsidRDefault="00BE7371" w:rsidP="004857BA">
      <w:pPr>
        <w:autoSpaceDE w:val="0"/>
        <w:autoSpaceDN w:val="0"/>
        <w:adjustRightInd w:val="0"/>
        <w:spacing w:after="0" w:line="240" w:lineRule="auto"/>
        <w:ind w:right="397" w:hanging="425"/>
        <w:jc w:val="both"/>
        <w:rPr>
          <w:rFonts w:ascii="Arial" w:hAnsi="Arial" w:cs="Arial"/>
          <w:sz w:val="24"/>
          <w:szCs w:val="24"/>
        </w:rPr>
      </w:pPr>
    </w:p>
    <w:p w:rsidR="00BE7371" w:rsidRPr="00E75D15" w:rsidRDefault="00BE7371" w:rsidP="00BE7371">
      <w:pPr>
        <w:ind w:left="-851"/>
        <w:contextualSpacing/>
        <w:jc w:val="center"/>
        <w:rPr>
          <w:rFonts w:ascii="Arial" w:hAnsi="Arial" w:cs="Arial"/>
          <w:sz w:val="24"/>
          <w:szCs w:val="24"/>
        </w:rPr>
      </w:pPr>
      <w:r w:rsidRPr="00E75D15">
        <w:rPr>
          <w:rFonts w:ascii="Arial" w:hAnsi="Arial" w:cs="Arial"/>
          <w:sz w:val="24"/>
          <w:szCs w:val="24"/>
        </w:rPr>
        <w:t>ANSWER</w:t>
      </w:r>
    </w:p>
    <w:p w:rsidR="00BE7371" w:rsidRPr="00E75D15" w:rsidRDefault="00BE7371" w:rsidP="00BE7371">
      <w:pPr>
        <w:ind w:left="-851"/>
        <w:contextualSpacing/>
        <w:jc w:val="center"/>
        <w:rPr>
          <w:rFonts w:ascii="Arial" w:hAnsi="Arial" w:cs="Arial"/>
          <w:sz w:val="8"/>
          <w:szCs w:val="8"/>
        </w:rPr>
      </w:pPr>
    </w:p>
    <w:p w:rsidR="004857BA" w:rsidRPr="00E75D15" w:rsidRDefault="004857BA" w:rsidP="004857BA">
      <w:pPr>
        <w:rPr>
          <w:rFonts w:ascii="Arial" w:hAnsi="Arial" w:cs="Arial"/>
          <w:sz w:val="24"/>
          <w:szCs w:val="24"/>
        </w:rPr>
      </w:pPr>
      <w:r w:rsidRPr="00E75D15">
        <w:rPr>
          <w:rFonts w:ascii="Arial" w:hAnsi="Arial" w:cs="Arial"/>
          <w:sz w:val="24"/>
          <w:szCs w:val="24"/>
        </w:rPr>
        <w:t>MINISTER OF STATE IN THE MINISTRY OF FINANCE</w:t>
      </w:r>
    </w:p>
    <w:p w:rsidR="004857BA" w:rsidRPr="00E75D15" w:rsidRDefault="004857BA" w:rsidP="004857BA">
      <w:pPr>
        <w:rPr>
          <w:rFonts w:ascii="Arial" w:hAnsi="Arial" w:cs="Arial"/>
          <w:sz w:val="24"/>
          <w:szCs w:val="24"/>
        </w:rPr>
      </w:pPr>
      <w:r w:rsidRPr="00E75D15">
        <w:rPr>
          <w:rFonts w:ascii="Arial" w:hAnsi="Arial" w:cs="Arial"/>
          <w:sz w:val="24"/>
          <w:szCs w:val="24"/>
        </w:rPr>
        <w:t>(SHRI ANURAG SINGH THAKUR)</w:t>
      </w:r>
    </w:p>
    <w:p w:rsidR="004857BA" w:rsidRPr="00E75D15" w:rsidRDefault="004857BA" w:rsidP="00E75D15">
      <w:pPr>
        <w:spacing w:after="0" w:line="240" w:lineRule="auto"/>
        <w:ind w:right="-563"/>
        <w:jc w:val="both"/>
        <w:rPr>
          <w:rFonts w:ascii="Arial" w:eastAsia="Times New Roman" w:hAnsi="Arial" w:cs="Arial"/>
          <w:sz w:val="24"/>
          <w:szCs w:val="24"/>
          <w:lang w:bidi="ar-SA"/>
        </w:rPr>
      </w:pPr>
      <w:r w:rsidRPr="00E75D15">
        <w:rPr>
          <w:rFonts w:ascii="Arial" w:hAnsi="Arial" w:cs="Arial"/>
          <w:sz w:val="24"/>
          <w:szCs w:val="24"/>
        </w:rPr>
        <w:t xml:space="preserve">(a): </w:t>
      </w:r>
      <w:r w:rsidRPr="00E75D15">
        <w:rPr>
          <w:rFonts w:ascii="Arial" w:eastAsia="Times New Roman" w:hAnsi="Arial" w:cs="Arial"/>
          <w:sz w:val="24"/>
          <w:szCs w:val="24"/>
          <w:lang w:bidi="ar-SA"/>
        </w:rPr>
        <w:t>LIC’s investments are governed by the provisions of Insurance Act, 1938, Life Insurance Act, 1956 and IRDAI (Investment) Regulations, 2016. As per LIC, investment decisions are taken as per advice of Investment Committee constituted by the Board of LIC under Section 19(2) of Life Insurance Corporation Act, 1956. The Investment Committee takes guidance from Board approved investment policy and extant legal provisions. The investment operating procedures &amp; internal norms are reviewed by LIC as per the need &amp; revisions and changes are incorporated after seeking approval from their Investment Committee.</w:t>
      </w:r>
    </w:p>
    <w:p w:rsidR="004857BA" w:rsidRPr="00E75D15" w:rsidRDefault="004857BA" w:rsidP="004857BA">
      <w:pPr>
        <w:spacing w:after="0" w:line="240" w:lineRule="auto"/>
        <w:jc w:val="both"/>
        <w:rPr>
          <w:rFonts w:ascii="Arial" w:eastAsia="Times New Roman" w:hAnsi="Arial" w:cs="Arial"/>
          <w:sz w:val="14"/>
          <w:szCs w:val="14"/>
          <w:lang w:bidi="ar-SA"/>
        </w:rPr>
      </w:pPr>
    </w:p>
    <w:p w:rsidR="004857BA" w:rsidRPr="00E75D15" w:rsidRDefault="004857BA" w:rsidP="00E75D15">
      <w:pPr>
        <w:spacing w:after="0" w:line="240" w:lineRule="auto"/>
        <w:ind w:right="-563"/>
        <w:jc w:val="both"/>
        <w:rPr>
          <w:rFonts w:ascii="Arial" w:eastAsia="Times New Roman" w:hAnsi="Arial" w:cs="Arial"/>
          <w:sz w:val="24"/>
          <w:szCs w:val="24"/>
          <w:lang w:bidi="ar-SA"/>
        </w:rPr>
      </w:pPr>
      <w:r w:rsidRPr="00E75D15">
        <w:rPr>
          <w:rFonts w:ascii="Arial" w:eastAsia="Times New Roman" w:hAnsi="Arial" w:cs="Arial"/>
          <w:sz w:val="24"/>
          <w:szCs w:val="24"/>
          <w:lang w:bidi="ar-SA"/>
        </w:rPr>
        <w:t>LIC, while examining investment opportunities, looks at the fundamentals and future prospects of the companies coupled with companies’ performance with a long term horizon.</w:t>
      </w:r>
    </w:p>
    <w:p w:rsidR="004857BA" w:rsidRPr="00E75D15" w:rsidRDefault="004857BA" w:rsidP="004857BA">
      <w:pPr>
        <w:pStyle w:val="ListParagraph"/>
        <w:ind w:left="18"/>
        <w:jc w:val="both"/>
        <w:rPr>
          <w:rFonts w:ascii="Arial" w:hAnsi="Arial" w:cs="Arial"/>
          <w:sz w:val="14"/>
          <w:szCs w:val="14"/>
        </w:rPr>
      </w:pPr>
    </w:p>
    <w:p w:rsidR="004857BA" w:rsidRPr="00E75D15" w:rsidRDefault="004857BA" w:rsidP="00E75D15">
      <w:pPr>
        <w:pStyle w:val="ListParagraph"/>
        <w:ind w:left="18" w:right="-563"/>
        <w:jc w:val="both"/>
        <w:rPr>
          <w:rFonts w:ascii="Arial" w:hAnsi="Arial" w:cs="Arial"/>
        </w:rPr>
      </w:pPr>
      <w:r w:rsidRPr="00E75D15">
        <w:rPr>
          <w:rFonts w:ascii="Arial" w:hAnsi="Arial" w:cs="Arial"/>
        </w:rPr>
        <w:t xml:space="preserve">Further, investments of financial institutions are made as per applicable extant statutory provisions, regulatory guidelines, and board approved investment policies framed in line with existing legal provisions and regulatory guidelines in diversified and commercially viable companies with long term view. </w:t>
      </w:r>
    </w:p>
    <w:p w:rsidR="00BE7371" w:rsidRPr="00E75D15" w:rsidRDefault="00BE7371" w:rsidP="004857BA">
      <w:pPr>
        <w:spacing w:after="0" w:line="240" w:lineRule="auto"/>
        <w:rPr>
          <w:rFonts w:ascii="Arial" w:hAnsi="Arial" w:cs="Arial"/>
          <w:sz w:val="24"/>
          <w:szCs w:val="24"/>
        </w:rPr>
      </w:pPr>
    </w:p>
    <w:p w:rsidR="004857BA" w:rsidRPr="00E75D15" w:rsidRDefault="004857BA" w:rsidP="00E75D15">
      <w:pPr>
        <w:spacing w:after="0" w:line="240" w:lineRule="auto"/>
        <w:ind w:right="-563"/>
        <w:jc w:val="both"/>
        <w:rPr>
          <w:rFonts w:ascii="Arial" w:hAnsi="Arial" w:cs="Arial"/>
          <w:sz w:val="24"/>
          <w:szCs w:val="24"/>
        </w:rPr>
      </w:pPr>
      <w:r w:rsidRPr="00E75D15">
        <w:rPr>
          <w:rFonts w:ascii="Arial" w:hAnsi="Arial" w:cs="Arial"/>
          <w:sz w:val="24"/>
          <w:szCs w:val="24"/>
        </w:rPr>
        <w:t xml:space="preserve">(b) </w:t>
      </w:r>
      <w:proofErr w:type="gramStart"/>
      <w:r w:rsidRPr="00E75D15">
        <w:rPr>
          <w:rFonts w:ascii="Arial" w:hAnsi="Arial" w:cs="Arial"/>
          <w:sz w:val="24"/>
          <w:szCs w:val="24"/>
        </w:rPr>
        <w:t>and</w:t>
      </w:r>
      <w:proofErr w:type="gramEnd"/>
      <w:r w:rsidRPr="00E75D15">
        <w:rPr>
          <w:rFonts w:ascii="Arial" w:hAnsi="Arial" w:cs="Arial"/>
          <w:sz w:val="24"/>
          <w:szCs w:val="24"/>
        </w:rPr>
        <w:t xml:space="preserve"> (c:) As per LIC Housing Finance Limited, it has no investments in the share market.</w:t>
      </w:r>
    </w:p>
    <w:p w:rsidR="004857BA" w:rsidRPr="00E75D15" w:rsidRDefault="004857BA" w:rsidP="004857BA">
      <w:pPr>
        <w:spacing w:after="0" w:line="240" w:lineRule="auto"/>
        <w:jc w:val="both"/>
        <w:rPr>
          <w:rFonts w:ascii="Arial" w:hAnsi="Arial" w:cs="Arial"/>
          <w:sz w:val="24"/>
          <w:szCs w:val="24"/>
        </w:rPr>
      </w:pPr>
    </w:p>
    <w:p w:rsidR="00E75D15" w:rsidRDefault="00E75D15" w:rsidP="00E75D15">
      <w:pPr>
        <w:spacing w:after="0" w:line="240" w:lineRule="auto"/>
        <w:ind w:right="-563"/>
        <w:jc w:val="both"/>
        <w:rPr>
          <w:rFonts w:ascii="Arial" w:hAnsi="Arial" w:cs="Arial"/>
          <w:sz w:val="24"/>
          <w:szCs w:val="24"/>
        </w:rPr>
      </w:pPr>
    </w:p>
    <w:p w:rsidR="004857BA" w:rsidRPr="00E75D15" w:rsidRDefault="004857BA" w:rsidP="00E75D15">
      <w:pPr>
        <w:spacing w:after="0" w:line="240" w:lineRule="auto"/>
        <w:ind w:right="-563"/>
        <w:jc w:val="both"/>
        <w:rPr>
          <w:rFonts w:ascii="Arial" w:hAnsi="Arial" w:cs="Arial"/>
          <w:sz w:val="24"/>
          <w:szCs w:val="24"/>
        </w:rPr>
      </w:pPr>
      <w:r w:rsidRPr="00E75D15">
        <w:rPr>
          <w:rFonts w:ascii="Arial" w:hAnsi="Arial" w:cs="Arial"/>
          <w:sz w:val="24"/>
          <w:szCs w:val="24"/>
        </w:rPr>
        <w:t>(d) and (e):  The various statutes under which regulators are set up mandate the protection of interest of investors which is ensured through periodic monitoring and regulatory supervision of financial institutions. In case of any violation of statutory provisions or regulatory guidelines supervisory action is taken against such an institution including levying of penalty, cancellation of registration etc by the regulator.</w:t>
      </w:r>
    </w:p>
    <w:p w:rsidR="004857BA" w:rsidRPr="00E47CAC" w:rsidRDefault="004857BA" w:rsidP="004857BA">
      <w:pPr>
        <w:spacing w:after="0" w:line="240" w:lineRule="auto"/>
        <w:jc w:val="both"/>
        <w:rPr>
          <w:rFonts w:ascii="Arial" w:hAnsi="Arial" w:cs="Arial"/>
          <w:sz w:val="12"/>
          <w:szCs w:val="12"/>
        </w:rPr>
      </w:pPr>
    </w:p>
    <w:p w:rsidR="004857BA" w:rsidRPr="00E75D15" w:rsidRDefault="004857BA" w:rsidP="00E75D15">
      <w:pPr>
        <w:pStyle w:val="ListParagraph"/>
        <w:ind w:left="34" w:right="-563"/>
        <w:jc w:val="both"/>
        <w:rPr>
          <w:rFonts w:ascii="Arial" w:hAnsi="Arial" w:cs="Arial"/>
        </w:rPr>
      </w:pPr>
      <w:r w:rsidRPr="00E75D15">
        <w:rPr>
          <w:rFonts w:ascii="Arial" w:hAnsi="Arial" w:cs="Arial"/>
        </w:rPr>
        <w:t xml:space="preserve">Banks are subject to prudent regulation and supervision under the provisions of the Banking Regulation Act, 1949, which provides, </w:t>
      </w:r>
      <w:r w:rsidRPr="00E75D15">
        <w:rPr>
          <w:rFonts w:ascii="Arial" w:hAnsi="Arial" w:cs="Arial"/>
          <w:i/>
          <w:iCs/>
        </w:rPr>
        <w:t>inter-alia</w:t>
      </w:r>
      <w:r w:rsidRPr="00E75D15">
        <w:rPr>
          <w:rFonts w:ascii="Arial" w:hAnsi="Arial" w:cs="Arial"/>
        </w:rPr>
        <w:t>, for regulatory directions for the purposes of preventing being conducted in a manner detrimental to the interest of the depositors and to secure proper management of the bank. As the regulator and supervisor, RBI has taken a number of measures for these purposes, including issuance of the prompt corrective action framework, capital adequacy norms superior to the Basel-III international framework and prudent lending norms. In addition, deposits are insured as per existing scheme.</w:t>
      </w:r>
    </w:p>
    <w:p w:rsidR="004857BA" w:rsidRPr="00E75D15" w:rsidRDefault="004857BA" w:rsidP="004857BA">
      <w:pPr>
        <w:spacing w:after="0" w:line="240" w:lineRule="auto"/>
        <w:jc w:val="both"/>
        <w:rPr>
          <w:rFonts w:ascii="Arial" w:hAnsi="Arial" w:cs="Arial"/>
          <w:sz w:val="20"/>
        </w:rPr>
      </w:pPr>
    </w:p>
    <w:p w:rsidR="004857BA" w:rsidRPr="00E75D15" w:rsidRDefault="004857BA" w:rsidP="00E75D15">
      <w:pPr>
        <w:spacing w:after="0" w:line="240" w:lineRule="auto"/>
        <w:ind w:right="-563"/>
        <w:jc w:val="both"/>
        <w:rPr>
          <w:rFonts w:ascii="Arial" w:hAnsi="Arial" w:cs="Arial"/>
          <w:sz w:val="24"/>
          <w:szCs w:val="24"/>
        </w:rPr>
      </w:pPr>
      <w:r w:rsidRPr="00E75D15">
        <w:rPr>
          <w:rFonts w:ascii="Arial" w:hAnsi="Arial" w:cs="Arial"/>
          <w:sz w:val="24"/>
          <w:szCs w:val="24"/>
        </w:rPr>
        <w:t>A Revised Regulatory Framework was issued by RBI in November 2014 mandating that only investment grade rated NBFCs-D</w:t>
      </w:r>
      <w:r w:rsidR="000D16D9">
        <w:rPr>
          <w:rFonts w:ascii="Arial" w:hAnsi="Arial" w:cs="Arial"/>
          <w:sz w:val="24"/>
          <w:szCs w:val="24"/>
        </w:rPr>
        <w:t xml:space="preserve"> (deposit taking NBFCs)</w:t>
      </w:r>
      <w:r w:rsidRPr="00E75D15">
        <w:rPr>
          <w:rFonts w:ascii="Arial" w:hAnsi="Arial" w:cs="Arial"/>
          <w:sz w:val="24"/>
          <w:szCs w:val="24"/>
        </w:rPr>
        <w:t xml:space="preserve"> shall accept and maintain public deposits. If any NBFCs-D are found violating guidelines applicable to them, then supervisory action is taken including issuance of Prohibitory Order under Section 45 MB of the RBI Act, 1934 and cancellation of </w:t>
      </w:r>
      <w:r w:rsidR="000D16D9">
        <w:rPr>
          <w:rFonts w:ascii="Arial" w:hAnsi="Arial" w:cs="Arial"/>
          <w:sz w:val="24"/>
          <w:szCs w:val="24"/>
        </w:rPr>
        <w:t>Certificate of Registration (</w:t>
      </w:r>
      <w:proofErr w:type="spellStart"/>
      <w:r w:rsidRPr="00E75D15">
        <w:rPr>
          <w:rFonts w:ascii="Arial" w:hAnsi="Arial" w:cs="Arial"/>
          <w:sz w:val="24"/>
          <w:szCs w:val="24"/>
        </w:rPr>
        <w:t>CoR</w:t>
      </w:r>
      <w:proofErr w:type="spellEnd"/>
      <w:r w:rsidR="000D16D9">
        <w:rPr>
          <w:rFonts w:ascii="Arial" w:hAnsi="Arial" w:cs="Arial"/>
          <w:sz w:val="24"/>
          <w:szCs w:val="24"/>
        </w:rPr>
        <w:t>)</w:t>
      </w:r>
      <w:r w:rsidRPr="00E75D15">
        <w:rPr>
          <w:rFonts w:ascii="Arial" w:hAnsi="Arial" w:cs="Arial"/>
          <w:sz w:val="24"/>
          <w:szCs w:val="24"/>
        </w:rPr>
        <w:t xml:space="preserve">, if necessary. </w:t>
      </w:r>
    </w:p>
    <w:p w:rsidR="004857BA" w:rsidRPr="00E47CAC" w:rsidRDefault="004857BA" w:rsidP="004857BA">
      <w:pPr>
        <w:spacing w:after="0" w:line="240" w:lineRule="auto"/>
        <w:jc w:val="both"/>
        <w:rPr>
          <w:rFonts w:ascii="Arial" w:hAnsi="Arial" w:cs="Arial"/>
          <w:sz w:val="14"/>
          <w:szCs w:val="14"/>
          <w:highlight w:val="yellow"/>
        </w:rPr>
      </w:pPr>
    </w:p>
    <w:p w:rsidR="004857BA" w:rsidRPr="00E75D15" w:rsidRDefault="004857BA" w:rsidP="00E75D15">
      <w:pPr>
        <w:pStyle w:val="ListParagraph"/>
        <w:ind w:left="34" w:right="-563"/>
        <w:jc w:val="both"/>
        <w:rPr>
          <w:rFonts w:ascii="Arial" w:hAnsi="Arial" w:cs="Arial"/>
        </w:rPr>
      </w:pPr>
      <w:r w:rsidRPr="00E75D15">
        <w:rPr>
          <w:rFonts w:ascii="Arial" w:hAnsi="Arial" w:cs="Arial"/>
        </w:rPr>
        <w:t xml:space="preserve">To help customers recover loss sustained on account of fraudulent transactions, RBI has issued instructions providing zero liability of a customer if she or he informs the bank regarding an </w:t>
      </w:r>
      <w:r w:rsidR="006148C3">
        <w:rPr>
          <w:rFonts w:ascii="Arial" w:hAnsi="Arial" w:cs="Arial"/>
        </w:rPr>
        <w:t>un</w:t>
      </w:r>
      <w:r w:rsidRPr="00E75D15">
        <w:rPr>
          <w:rFonts w:ascii="Arial" w:hAnsi="Arial" w:cs="Arial"/>
        </w:rPr>
        <w:t>authorized electronic transaction within three working days of receiving information in respect of the transaction</w:t>
      </w:r>
      <w:r w:rsidR="006148C3">
        <w:rPr>
          <w:rFonts w:ascii="Arial" w:hAnsi="Arial" w:cs="Arial"/>
        </w:rPr>
        <w:t xml:space="preserve"> from the bank and the bank shall credit the amount involved in such transaction to</w:t>
      </w:r>
      <w:r w:rsidRPr="00E75D15">
        <w:rPr>
          <w:rFonts w:ascii="Arial" w:hAnsi="Arial" w:cs="Arial"/>
        </w:rPr>
        <w:t xml:space="preserve"> the customer’s account within 10 working days from the date of information by the customer. </w:t>
      </w:r>
    </w:p>
    <w:p w:rsidR="004857BA" w:rsidRPr="00E47CAC" w:rsidRDefault="004857BA" w:rsidP="004857BA">
      <w:pPr>
        <w:pStyle w:val="ListParagraph"/>
        <w:ind w:left="34"/>
        <w:jc w:val="both"/>
        <w:rPr>
          <w:rFonts w:ascii="Arial" w:hAnsi="Arial" w:cs="Arial"/>
          <w:sz w:val="14"/>
          <w:szCs w:val="14"/>
        </w:rPr>
      </w:pPr>
    </w:p>
    <w:p w:rsidR="004857BA" w:rsidRPr="00E75D15" w:rsidRDefault="004857BA" w:rsidP="00E75D15">
      <w:pPr>
        <w:spacing w:after="0" w:line="240" w:lineRule="auto"/>
        <w:ind w:right="-563"/>
        <w:jc w:val="both"/>
        <w:rPr>
          <w:rFonts w:ascii="Arial" w:hAnsi="Arial" w:cs="Arial"/>
          <w:sz w:val="24"/>
          <w:szCs w:val="24"/>
        </w:rPr>
      </w:pPr>
      <w:r w:rsidRPr="00E75D15">
        <w:rPr>
          <w:rFonts w:ascii="Arial" w:hAnsi="Arial" w:cs="Arial"/>
          <w:sz w:val="24"/>
          <w:szCs w:val="24"/>
        </w:rPr>
        <w:t xml:space="preserve">In order to safeguard bank deposits, provisions for deposit insurance are provided in the Deposit Insurance and Credit Guarantee Corporation (DICGC) Act, 1961. DICGC, which is  a wholly owned subsidiary of RBI, insures bank deposits, such as savings, fixed, current, recurring etc. of all commercial banks, including private banks, public sector banks, branches of foreign banks in India, Local Area Banks, Regional Rural Banks, Cooperative Banks, Small Finance Banks, and Payment Banks. </w:t>
      </w:r>
    </w:p>
    <w:p w:rsidR="004857BA" w:rsidRPr="00E75D15" w:rsidRDefault="004857BA" w:rsidP="004857BA">
      <w:pPr>
        <w:spacing w:after="0" w:line="240" w:lineRule="auto"/>
        <w:jc w:val="both"/>
        <w:rPr>
          <w:rFonts w:ascii="Arial" w:hAnsi="Arial" w:cs="Arial"/>
          <w:sz w:val="20"/>
        </w:rPr>
      </w:pPr>
    </w:p>
    <w:p w:rsidR="004857BA" w:rsidRPr="00E75D15" w:rsidRDefault="004857BA" w:rsidP="00E75D15">
      <w:pPr>
        <w:spacing w:after="0" w:line="240" w:lineRule="auto"/>
        <w:ind w:right="-561"/>
        <w:jc w:val="both"/>
        <w:rPr>
          <w:rFonts w:ascii="Arial" w:hAnsi="Arial" w:cs="Arial"/>
          <w:sz w:val="24"/>
          <w:szCs w:val="24"/>
        </w:rPr>
      </w:pPr>
      <w:r w:rsidRPr="00E75D15">
        <w:rPr>
          <w:rFonts w:ascii="Arial" w:hAnsi="Arial" w:cs="Arial"/>
          <w:sz w:val="24"/>
          <w:szCs w:val="24"/>
        </w:rPr>
        <w:t xml:space="preserve">Government has taken comprehensive measures to protect the interest of depositors, </w:t>
      </w:r>
      <w:r w:rsidRPr="00E75D15">
        <w:rPr>
          <w:rFonts w:ascii="Arial" w:hAnsi="Arial" w:cs="Arial"/>
          <w:i/>
          <w:iCs/>
          <w:sz w:val="24"/>
          <w:szCs w:val="24"/>
        </w:rPr>
        <w:t xml:space="preserve">inter-alia, </w:t>
      </w:r>
      <w:r w:rsidRPr="00E75D15">
        <w:rPr>
          <w:rFonts w:ascii="Arial" w:hAnsi="Arial" w:cs="Arial"/>
          <w:sz w:val="24"/>
          <w:szCs w:val="24"/>
        </w:rPr>
        <w:t>including:</w:t>
      </w:r>
    </w:p>
    <w:p w:rsidR="004857BA" w:rsidRPr="00E75D15" w:rsidRDefault="004857BA" w:rsidP="004857BA">
      <w:pPr>
        <w:spacing w:after="0"/>
        <w:jc w:val="both"/>
        <w:rPr>
          <w:rFonts w:ascii="Arial" w:hAnsi="Arial" w:cs="Arial"/>
          <w:sz w:val="10"/>
          <w:szCs w:val="10"/>
        </w:rPr>
      </w:pPr>
    </w:p>
    <w:p w:rsidR="004857BA" w:rsidRPr="00E75D15" w:rsidRDefault="004857BA" w:rsidP="00E75D15">
      <w:pPr>
        <w:pStyle w:val="ListParagraph"/>
        <w:numPr>
          <w:ilvl w:val="0"/>
          <w:numId w:val="9"/>
        </w:numPr>
        <w:ind w:left="709" w:right="-563" w:hanging="425"/>
        <w:jc w:val="both"/>
        <w:rPr>
          <w:rFonts w:ascii="Arial" w:hAnsi="Arial" w:cs="Arial"/>
        </w:rPr>
      </w:pPr>
      <w:r w:rsidRPr="00E75D15">
        <w:rPr>
          <w:rFonts w:ascii="Arial" w:hAnsi="Arial" w:cs="Arial"/>
        </w:rPr>
        <w:t>Issuance of “Framework for timely detection, reporting, investigation etc. relating to large value bank frauds” to Public Sector Banks (PSBs), for systemic and comprehensive checking of legacy stock of their non-performing assets (NPAs).</w:t>
      </w:r>
    </w:p>
    <w:p w:rsidR="004857BA" w:rsidRPr="00E75D15" w:rsidRDefault="004857BA" w:rsidP="00E75D15">
      <w:pPr>
        <w:pStyle w:val="ListParagraph"/>
        <w:numPr>
          <w:ilvl w:val="0"/>
          <w:numId w:val="9"/>
        </w:numPr>
        <w:ind w:left="709" w:right="-563" w:hanging="436"/>
        <w:jc w:val="both"/>
        <w:rPr>
          <w:rFonts w:ascii="Arial" w:hAnsi="Arial" w:cs="Arial"/>
        </w:rPr>
      </w:pPr>
      <w:r w:rsidRPr="00E75D15">
        <w:rPr>
          <w:rFonts w:ascii="Arial" w:hAnsi="Arial" w:cs="Arial"/>
        </w:rPr>
        <w:t>Enactment of Fugitive Economic Offenders Act, 2018 to deter economic offenders from evading the process of Indian law by remaining outside the jurisdiction of Indian courts.</w:t>
      </w:r>
    </w:p>
    <w:p w:rsidR="004857BA" w:rsidRPr="00E75D15" w:rsidRDefault="004857BA" w:rsidP="00E75D15">
      <w:pPr>
        <w:pStyle w:val="ListParagraph"/>
        <w:numPr>
          <w:ilvl w:val="0"/>
          <w:numId w:val="9"/>
        </w:numPr>
        <w:ind w:left="709" w:right="-563" w:hanging="436"/>
        <w:jc w:val="both"/>
        <w:rPr>
          <w:rFonts w:ascii="Arial" w:hAnsi="Arial" w:cs="Arial"/>
        </w:rPr>
      </w:pPr>
      <w:r w:rsidRPr="00E75D15">
        <w:rPr>
          <w:rFonts w:ascii="Arial" w:hAnsi="Arial" w:cs="Arial"/>
        </w:rPr>
        <w:t xml:space="preserve">Advising PSBs to obtain certified copy of the passport of the promoters/directors and other authorized signatories of companies availing loan facilities of more than Rs. 50 </w:t>
      </w:r>
      <w:proofErr w:type="spellStart"/>
      <w:r w:rsidRPr="00E75D15">
        <w:rPr>
          <w:rFonts w:ascii="Arial" w:hAnsi="Arial" w:cs="Arial"/>
        </w:rPr>
        <w:t>crore</w:t>
      </w:r>
      <w:proofErr w:type="spellEnd"/>
      <w:r w:rsidRPr="00E75D15">
        <w:rPr>
          <w:rFonts w:ascii="Arial" w:hAnsi="Arial" w:cs="Arial"/>
        </w:rPr>
        <w:t>.</w:t>
      </w:r>
    </w:p>
    <w:p w:rsidR="004857BA" w:rsidRPr="00E75D15" w:rsidRDefault="004857BA" w:rsidP="004857BA">
      <w:pPr>
        <w:pStyle w:val="ListParagraph"/>
        <w:numPr>
          <w:ilvl w:val="0"/>
          <w:numId w:val="9"/>
        </w:numPr>
        <w:spacing w:line="276" w:lineRule="auto"/>
        <w:ind w:left="709" w:right="-279" w:hanging="436"/>
        <w:jc w:val="both"/>
        <w:rPr>
          <w:rFonts w:ascii="Arial" w:hAnsi="Arial" w:cs="Arial"/>
        </w:rPr>
      </w:pPr>
      <w:r w:rsidRPr="00E75D15">
        <w:rPr>
          <w:rFonts w:ascii="Arial" w:hAnsi="Arial" w:cs="Arial"/>
        </w:rPr>
        <w:t>Establishing National Financial Reporting Authority as an independent regulator.</w:t>
      </w:r>
    </w:p>
    <w:p w:rsidR="004857BA" w:rsidRPr="00E75D15" w:rsidRDefault="004857BA" w:rsidP="00E75D15">
      <w:pPr>
        <w:pStyle w:val="ListParagraph"/>
        <w:numPr>
          <w:ilvl w:val="0"/>
          <w:numId w:val="9"/>
        </w:numPr>
        <w:ind w:left="709" w:right="-563" w:hanging="436"/>
        <w:jc w:val="both"/>
        <w:rPr>
          <w:rFonts w:ascii="Arial" w:hAnsi="Arial" w:cs="Arial"/>
        </w:rPr>
      </w:pPr>
      <w:r w:rsidRPr="00E75D15">
        <w:rPr>
          <w:rFonts w:ascii="Arial" w:hAnsi="Arial" w:cs="Arial"/>
        </w:rPr>
        <w:t>Issuing instructions/advisories to PSBs to decide on publishing photographs of willful defaulters, in terms of RBI’s instructions and as per their Board-approved policy.</w:t>
      </w:r>
    </w:p>
    <w:p w:rsidR="004857BA" w:rsidRDefault="004857BA" w:rsidP="00E75D15">
      <w:pPr>
        <w:pStyle w:val="ListParagraph"/>
        <w:numPr>
          <w:ilvl w:val="0"/>
          <w:numId w:val="9"/>
        </w:numPr>
        <w:ind w:left="709" w:right="-563" w:hanging="436"/>
        <w:jc w:val="both"/>
        <w:rPr>
          <w:rFonts w:ascii="Arial" w:hAnsi="Arial" w:cs="Arial"/>
        </w:rPr>
      </w:pPr>
      <w:r w:rsidRPr="00E75D15">
        <w:rPr>
          <w:rFonts w:ascii="Arial" w:hAnsi="Arial" w:cs="Arial"/>
        </w:rPr>
        <w:t xml:space="preserve">Freezing of bank accounts 3.38 </w:t>
      </w:r>
      <w:proofErr w:type="spellStart"/>
      <w:r w:rsidRPr="00E75D15">
        <w:rPr>
          <w:rFonts w:ascii="Arial" w:hAnsi="Arial" w:cs="Arial"/>
        </w:rPr>
        <w:t>lakhs</w:t>
      </w:r>
      <w:proofErr w:type="spellEnd"/>
      <w:r w:rsidRPr="00E75D15">
        <w:rPr>
          <w:rFonts w:ascii="Arial" w:hAnsi="Arial" w:cs="Arial"/>
        </w:rPr>
        <w:t xml:space="preserve"> inoperative companies over the last two financial years.</w:t>
      </w:r>
    </w:p>
    <w:p w:rsidR="007D1D8C" w:rsidRPr="00E75D15" w:rsidRDefault="00BE7371" w:rsidP="00190B2E">
      <w:pPr>
        <w:rPr>
          <w:rFonts w:ascii="Arial" w:hAnsi="Arial" w:cs="Arial"/>
          <w:sz w:val="24"/>
          <w:szCs w:val="24"/>
        </w:rPr>
      </w:pPr>
      <w:r w:rsidRPr="00E75D15">
        <w:rPr>
          <w:rFonts w:ascii="Arial" w:hAnsi="Arial" w:cs="Arial"/>
          <w:sz w:val="24"/>
          <w:szCs w:val="24"/>
        </w:rPr>
        <w:t xml:space="preserve">                                                    </w:t>
      </w:r>
      <w:r w:rsidR="0013204B" w:rsidRPr="00E75D15">
        <w:rPr>
          <w:rFonts w:ascii="Arial" w:hAnsi="Arial" w:cs="Arial"/>
          <w:sz w:val="24"/>
          <w:szCs w:val="24"/>
        </w:rPr>
        <w:t xml:space="preserve">                      </w:t>
      </w:r>
      <w:r w:rsidRPr="00E75D15">
        <w:rPr>
          <w:rFonts w:ascii="Arial" w:hAnsi="Arial" w:cs="Arial"/>
          <w:sz w:val="24"/>
          <w:szCs w:val="24"/>
        </w:rPr>
        <w:t xml:space="preserve"> *******</w:t>
      </w:r>
    </w:p>
    <w:sectPr w:rsidR="007D1D8C" w:rsidRPr="00E75D15" w:rsidSect="001F195B">
      <w:pgSz w:w="12240" w:h="15840"/>
      <w:pgMar w:top="2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0DCF"/>
    <w:multiLevelType w:val="hybridMultilevel"/>
    <w:tmpl w:val="E3E8DB28"/>
    <w:lvl w:ilvl="0" w:tplc="F566FF4E">
      <w:start w:val="1"/>
      <w:numFmt w:val="low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
    <w:nsid w:val="0FE16684"/>
    <w:multiLevelType w:val="hybridMultilevel"/>
    <w:tmpl w:val="69125AA2"/>
    <w:lvl w:ilvl="0" w:tplc="6EF408A2">
      <w:start w:val="1"/>
      <w:numFmt w:val="lowerLetter"/>
      <w:lvlText w:val="(%1)"/>
      <w:lvlJc w:val="left"/>
      <w:pPr>
        <w:ind w:left="927" w:hanging="360"/>
      </w:pPr>
      <w:rPr>
        <w:rFonts w:ascii="Arial" w:hAnsi="Arial" w:cs="Arial" w:hint="default"/>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27A56F8"/>
    <w:multiLevelType w:val="hybridMultilevel"/>
    <w:tmpl w:val="69125AA2"/>
    <w:lvl w:ilvl="0" w:tplc="6EF408A2">
      <w:start w:val="1"/>
      <w:numFmt w:val="lowerLetter"/>
      <w:lvlText w:val="(%1)"/>
      <w:lvlJc w:val="left"/>
      <w:pPr>
        <w:ind w:left="927" w:hanging="360"/>
      </w:pPr>
      <w:rPr>
        <w:rFonts w:ascii="Arial" w:hAnsi="Arial" w:cs="Arial" w:hint="default"/>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8A97397"/>
    <w:multiLevelType w:val="hybridMultilevel"/>
    <w:tmpl w:val="E74C0D00"/>
    <w:lvl w:ilvl="0" w:tplc="22DA879C">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E811C9"/>
    <w:multiLevelType w:val="hybridMultilevel"/>
    <w:tmpl w:val="E74C0D00"/>
    <w:lvl w:ilvl="0" w:tplc="22DA879C">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D22845"/>
    <w:multiLevelType w:val="hybridMultilevel"/>
    <w:tmpl w:val="2274FCCA"/>
    <w:lvl w:ilvl="0" w:tplc="D6C250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E0410D"/>
    <w:multiLevelType w:val="hybridMultilevel"/>
    <w:tmpl w:val="2B84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5247B0"/>
    <w:multiLevelType w:val="hybridMultilevel"/>
    <w:tmpl w:val="15584F90"/>
    <w:lvl w:ilvl="0" w:tplc="C082B3A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7B815B1"/>
    <w:multiLevelType w:val="hybridMultilevel"/>
    <w:tmpl w:val="69125AA2"/>
    <w:lvl w:ilvl="0" w:tplc="6EF408A2">
      <w:start w:val="1"/>
      <w:numFmt w:val="lowerLetter"/>
      <w:lvlText w:val="(%1)"/>
      <w:lvlJc w:val="left"/>
      <w:pPr>
        <w:ind w:left="927" w:hanging="360"/>
      </w:pPr>
      <w:rPr>
        <w:rFonts w:ascii="Arial" w:hAnsi="Arial" w:cs="Arial" w:hint="default"/>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
  </w:num>
  <w:num w:numId="3">
    <w:abstractNumId w:val="2"/>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B3469"/>
    <w:rsid w:val="00021C5E"/>
    <w:rsid w:val="000364DE"/>
    <w:rsid w:val="000437B6"/>
    <w:rsid w:val="00043D2A"/>
    <w:rsid w:val="00065747"/>
    <w:rsid w:val="00071707"/>
    <w:rsid w:val="0007344D"/>
    <w:rsid w:val="00074B37"/>
    <w:rsid w:val="000916E6"/>
    <w:rsid w:val="000D16D9"/>
    <w:rsid w:val="000D4690"/>
    <w:rsid w:val="001109EE"/>
    <w:rsid w:val="0013204B"/>
    <w:rsid w:val="00145A36"/>
    <w:rsid w:val="0014640D"/>
    <w:rsid w:val="00164F2A"/>
    <w:rsid w:val="00190B2E"/>
    <w:rsid w:val="001B3528"/>
    <w:rsid w:val="001C0B25"/>
    <w:rsid w:val="001E76AA"/>
    <w:rsid w:val="001F195B"/>
    <w:rsid w:val="00232D10"/>
    <w:rsid w:val="002E1379"/>
    <w:rsid w:val="002F2A2E"/>
    <w:rsid w:val="00322A3B"/>
    <w:rsid w:val="0032696F"/>
    <w:rsid w:val="0034553F"/>
    <w:rsid w:val="00407D29"/>
    <w:rsid w:val="00422C1E"/>
    <w:rsid w:val="004557D3"/>
    <w:rsid w:val="004857BA"/>
    <w:rsid w:val="00496C8F"/>
    <w:rsid w:val="004C6A4E"/>
    <w:rsid w:val="00514532"/>
    <w:rsid w:val="005345F2"/>
    <w:rsid w:val="0053644C"/>
    <w:rsid w:val="0054787C"/>
    <w:rsid w:val="005912A8"/>
    <w:rsid w:val="00592B47"/>
    <w:rsid w:val="006148C3"/>
    <w:rsid w:val="00625509"/>
    <w:rsid w:val="0063446D"/>
    <w:rsid w:val="006731ED"/>
    <w:rsid w:val="006A07B5"/>
    <w:rsid w:val="006B3A40"/>
    <w:rsid w:val="006B4505"/>
    <w:rsid w:val="006B780C"/>
    <w:rsid w:val="00700D4E"/>
    <w:rsid w:val="00733C39"/>
    <w:rsid w:val="00745C4C"/>
    <w:rsid w:val="007518CF"/>
    <w:rsid w:val="007541AD"/>
    <w:rsid w:val="007B3013"/>
    <w:rsid w:val="007B3469"/>
    <w:rsid w:val="007B4D15"/>
    <w:rsid w:val="007B53FB"/>
    <w:rsid w:val="007C35D9"/>
    <w:rsid w:val="007D1D8C"/>
    <w:rsid w:val="007F2FC1"/>
    <w:rsid w:val="008079B5"/>
    <w:rsid w:val="00814482"/>
    <w:rsid w:val="00826C0D"/>
    <w:rsid w:val="00862BC9"/>
    <w:rsid w:val="008637B1"/>
    <w:rsid w:val="00863B55"/>
    <w:rsid w:val="008735BF"/>
    <w:rsid w:val="00901CBA"/>
    <w:rsid w:val="0090255A"/>
    <w:rsid w:val="00904856"/>
    <w:rsid w:val="00910269"/>
    <w:rsid w:val="00950B97"/>
    <w:rsid w:val="00961978"/>
    <w:rsid w:val="009676E9"/>
    <w:rsid w:val="009721FD"/>
    <w:rsid w:val="009D20DA"/>
    <w:rsid w:val="009F3400"/>
    <w:rsid w:val="00A00408"/>
    <w:rsid w:val="00A42B7F"/>
    <w:rsid w:val="00A530D2"/>
    <w:rsid w:val="00A95922"/>
    <w:rsid w:val="00AA091E"/>
    <w:rsid w:val="00AB32F7"/>
    <w:rsid w:val="00AD69F5"/>
    <w:rsid w:val="00B2647D"/>
    <w:rsid w:val="00B31CF1"/>
    <w:rsid w:val="00B45D41"/>
    <w:rsid w:val="00BA7B2C"/>
    <w:rsid w:val="00BD104E"/>
    <w:rsid w:val="00BD4AB0"/>
    <w:rsid w:val="00BE7371"/>
    <w:rsid w:val="00C01FCE"/>
    <w:rsid w:val="00C6047F"/>
    <w:rsid w:val="00C717B5"/>
    <w:rsid w:val="00C80CC2"/>
    <w:rsid w:val="00C94B65"/>
    <w:rsid w:val="00CA3C94"/>
    <w:rsid w:val="00D21D4A"/>
    <w:rsid w:val="00D47193"/>
    <w:rsid w:val="00D74545"/>
    <w:rsid w:val="00D8411A"/>
    <w:rsid w:val="00DE51B1"/>
    <w:rsid w:val="00E30066"/>
    <w:rsid w:val="00E47CAC"/>
    <w:rsid w:val="00E63D93"/>
    <w:rsid w:val="00E66C2F"/>
    <w:rsid w:val="00E75D15"/>
    <w:rsid w:val="00EA0833"/>
    <w:rsid w:val="00EA244E"/>
    <w:rsid w:val="00ED1086"/>
    <w:rsid w:val="00F0211C"/>
    <w:rsid w:val="00F0486F"/>
    <w:rsid w:val="00F115E0"/>
    <w:rsid w:val="00F35FC1"/>
    <w:rsid w:val="00F45545"/>
    <w:rsid w:val="00F9629F"/>
    <w:rsid w:val="00FB1B9A"/>
    <w:rsid w:val="00FD3760"/>
    <w:rsid w:val="00FD438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B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F195B"/>
    <w:pPr>
      <w:spacing w:after="0" w:line="240" w:lineRule="auto"/>
      <w:ind w:left="720"/>
    </w:pPr>
    <w:rPr>
      <w:rFonts w:ascii="Times New Roman" w:eastAsia="Times New Roman" w:hAnsi="Times New Roman" w:cs="Times New Roman"/>
      <w:sz w:val="24"/>
      <w:szCs w:val="24"/>
      <w:lang w:bidi="ar-SA"/>
    </w:rPr>
  </w:style>
  <w:style w:type="character" w:customStyle="1" w:styleId="ListParagraphChar">
    <w:name w:val="List Paragraph Char"/>
    <w:link w:val="ListParagraph"/>
    <w:uiPriority w:val="34"/>
    <w:locked/>
    <w:rsid w:val="001F195B"/>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87184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dc:creator>
  <cp:lastModifiedBy>Navneet Gupta</cp:lastModifiedBy>
  <cp:revision>67</cp:revision>
  <cp:lastPrinted>2019-12-09T14:15:00Z</cp:lastPrinted>
  <dcterms:created xsi:type="dcterms:W3CDTF">2019-12-04T01:34:00Z</dcterms:created>
  <dcterms:modified xsi:type="dcterms:W3CDTF">2019-12-09T14:15:00Z</dcterms:modified>
</cp:coreProperties>
</file>