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C6" w:rsidRDefault="00AB3AC6" w:rsidP="00AB3A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 of Members</w:t>
      </w:r>
    </w:p>
    <w:p w:rsidR="00AB3AC6" w:rsidRDefault="00AB3AC6" w:rsidP="00AB3A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GAZETTE OF INDIA</w:t>
      </w:r>
    </w:p>
    <w:p w:rsidR="00AB3AC6" w:rsidRDefault="00AB3AC6" w:rsidP="00AB3A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EXTRAORDINARY</w:t>
      </w:r>
    </w:p>
    <w:p w:rsidR="00AB3AC6" w:rsidRDefault="00AB3AC6" w:rsidP="00AB3A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III —Section 4</w:t>
      </w:r>
    </w:p>
    <w:p w:rsidR="00AB3AC6" w:rsidRDefault="00AB3AC6" w:rsidP="00AB3A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PUBLISHED BY AUTHORITY</w:t>
      </w:r>
    </w:p>
    <w:p w:rsidR="006931E7" w:rsidRPr="006931E7" w:rsidRDefault="006931E7" w:rsidP="00AB3AC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31E7">
        <w:rPr>
          <w:rFonts w:ascii="Arial" w:hAnsi="Arial" w:cs="Arial"/>
          <w:b/>
          <w:bCs/>
          <w:sz w:val="24"/>
          <w:szCs w:val="24"/>
        </w:rPr>
        <w:t>INSURANCE REGULATORY AND DEVELOPMENT AUTHORITY OF INDIA</w:t>
      </w:r>
    </w:p>
    <w:p w:rsidR="006931E7" w:rsidRPr="006931E7" w:rsidRDefault="006931E7" w:rsidP="00AB3AC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31E7">
        <w:rPr>
          <w:rFonts w:ascii="Arial" w:hAnsi="Arial" w:cs="Arial"/>
          <w:b/>
          <w:bCs/>
          <w:sz w:val="24"/>
          <w:szCs w:val="24"/>
        </w:rPr>
        <w:t>NOTIFICATION</w:t>
      </w:r>
    </w:p>
    <w:p w:rsidR="006931E7" w:rsidRPr="006931E7" w:rsidRDefault="006931E7" w:rsidP="00AB3AC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Hyderabad, the 12th July, 2019</w:t>
      </w:r>
    </w:p>
    <w:p w:rsidR="006931E7" w:rsidRPr="006931E7" w:rsidRDefault="006931E7" w:rsidP="00AB3AC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31E7">
        <w:rPr>
          <w:rFonts w:ascii="Arial" w:hAnsi="Arial" w:cs="Arial"/>
          <w:b/>
          <w:bCs/>
          <w:sz w:val="24"/>
          <w:szCs w:val="24"/>
        </w:rPr>
        <w:t>RECONSTITUION OF INSURANCE ADVISORY COMMITTEE</w:t>
      </w:r>
      <w:bookmarkStart w:id="0" w:name="_GoBack"/>
      <w:bookmarkEnd w:id="0"/>
    </w:p>
    <w:p w:rsidR="006931E7" w:rsidRDefault="006931E7" w:rsidP="00AB3A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6931E7" w:rsidRDefault="006931E7" w:rsidP="00693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b/>
          <w:bCs/>
          <w:sz w:val="24"/>
          <w:szCs w:val="24"/>
        </w:rPr>
        <w:t>F. No. IRDAI/IAC/8/159/</w:t>
      </w:r>
      <w:r w:rsidRPr="006931E7">
        <w:rPr>
          <w:rFonts w:ascii="Arial" w:hAnsi="Arial" w:cs="Arial"/>
          <w:b/>
          <w:bCs/>
          <w:sz w:val="24"/>
          <w:szCs w:val="24"/>
        </w:rPr>
        <w:t>2019. —</w:t>
      </w:r>
      <w:r w:rsidRPr="006931E7">
        <w:rPr>
          <w:rFonts w:ascii="Arial" w:hAnsi="Arial" w:cs="Arial"/>
          <w:sz w:val="24"/>
          <w:szCs w:val="24"/>
        </w:rPr>
        <w:t>In exercise of the powers conferred by sub-section (1) of Section 25 of the</w:t>
      </w:r>
      <w:r>
        <w:rPr>
          <w:rFonts w:ascii="Arial" w:hAnsi="Arial" w:cs="Arial"/>
          <w:sz w:val="24"/>
          <w:szCs w:val="24"/>
        </w:rPr>
        <w:t xml:space="preserve"> </w:t>
      </w:r>
      <w:r w:rsidRPr="006931E7">
        <w:rPr>
          <w:rFonts w:ascii="Arial" w:hAnsi="Arial" w:cs="Arial"/>
          <w:sz w:val="24"/>
          <w:szCs w:val="24"/>
        </w:rPr>
        <w:t>Insurance Regulatory and Development Authority Act, 1999 (41 of 1999), and in terms of Regulation 3A of the Insurance</w:t>
      </w:r>
      <w:r>
        <w:rPr>
          <w:rFonts w:ascii="Arial" w:hAnsi="Arial" w:cs="Arial"/>
          <w:sz w:val="24"/>
          <w:szCs w:val="24"/>
        </w:rPr>
        <w:t xml:space="preserve"> </w:t>
      </w:r>
      <w:r w:rsidRPr="006931E7">
        <w:rPr>
          <w:rFonts w:ascii="Arial" w:hAnsi="Arial" w:cs="Arial"/>
          <w:sz w:val="24"/>
          <w:szCs w:val="24"/>
        </w:rPr>
        <w:t>Advisory Committee (Meetings) Regulations, 2000, the Authority hereby makes the following notification reconstituting</w:t>
      </w:r>
    </w:p>
    <w:p w:rsidR="006931E7" w:rsidRDefault="006931E7" w:rsidP="006931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the Insurance Advisory Committee which will be effective from 25th July, 2019.</w:t>
      </w:r>
    </w:p>
    <w:p w:rsidR="006931E7" w:rsidRDefault="006931E7" w:rsidP="006931E7">
      <w:pPr>
        <w:autoSpaceDE w:val="0"/>
        <w:autoSpaceDN w:val="0"/>
        <w:adjustRightInd w:val="0"/>
        <w:spacing w:after="0" w:line="120" w:lineRule="auto"/>
        <w:rPr>
          <w:rFonts w:ascii="Arial" w:hAnsi="Arial" w:cs="Arial"/>
          <w:sz w:val="24"/>
          <w:szCs w:val="24"/>
        </w:rPr>
      </w:pP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The reconstituted Insurance Advisory Committee is as under: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1. Chairman, Life Insurance Corporation of India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2. Chairman-cum-Managing Director, The Oriental Insurance Company Limited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3. Chairman-cum-Managing Director, General Insurance Corporation of India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4. Chief Executive Officer, Kotak Mahindra Life Insurance Company Limited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5. Chief Executive Officer, ICICI Lombard General Insurance Company Limited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6. Chairman-cum-Managing Director, Star Health &amp; Allied Insurance Company Limited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7. Director, National Insurance Academy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8. President, Institute of Actuaries of India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9. Secretary General, Insurance Institute of India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ind w:left="-90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10. President, Insurance Brokers’ Association of India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ind w:left="-90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11. President, Indian Institute of Insurance Surveyors &amp; Loss Assessors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ind w:left="-90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12. Insurance Ombudsman, Guwahati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ind w:left="-90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13. Secretary, Executive Committee of General Insurance Council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ind w:left="-90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lastRenderedPageBreak/>
        <w:t>14. Secretary, Executive Committee of Life Insurance Council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ind w:left="-90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15. Managing Director, Medi Assist Insurance TPA Private Limited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ind w:left="-90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16. Chairman, CII, National Committee on Insurance and Pensions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ind w:left="-90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17. Managing Director &amp; Chief Executive Officer, Syndicate Bank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ind w:left="-90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18. Chief Executive Officer, NSDL Database Management Limited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ind w:left="-90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19. Chief Executive Officer, Swiss Reinsurance Company Limited, India Branch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20. Registrar, NALSAR University of Law, Hyderabad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21. Lalit Kumar Chandel, Economic Adviser, Department of Financial Services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22. M. Rajavardhan Reddy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23. P.K. Dash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24. Pushpa Girimaji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25. Dr. Chiranjeevi Reddy Sannareddy</w:t>
      </w:r>
    </w:p>
    <w:p w:rsidR="006931E7" w:rsidRDefault="006931E7" w:rsidP="006931E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6931E7" w:rsidRPr="006931E7" w:rsidRDefault="006931E7" w:rsidP="006931E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Dr. SUBHASH C. KHUNTIA, Chairman</w:t>
      </w:r>
    </w:p>
    <w:p w:rsidR="006931E7" w:rsidRPr="006931E7" w:rsidRDefault="006931E7" w:rsidP="006931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31E7">
        <w:rPr>
          <w:rFonts w:ascii="Arial" w:hAnsi="Arial" w:cs="Arial"/>
          <w:sz w:val="24"/>
          <w:szCs w:val="24"/>
        </w:rPr>
        <w:t>[ADVT.-III/4/</w:t>
      </w:r>
      <w:r w:rsidRPr="006931E7">
        <w:rPr>
          <w:rFonts w:ascii="Arial" w:hAnsi="Arial" w:cs="Arial"/>
          <w:sz w:val="24"/>
          <w:szCs w:val="24"/>
        </w:rPr>
        <w:t>Exty. /</w:t>
      </w:r>
      <w:r w:rsidRPr="006931E7">
        <w:rPr>
          <w:rFonts w:ascii="Arial" w:hAnsi="Arial" w:cs="Arial"/>
          <w:sz w:val="24"/>
          <w:szCs w:val="24"/>
        </w:rPr>
        <w:t>135/19]</w:t>
      </w:r>
    </w:p>
    <w:sectPr w:rsidR="006931E7" w:rsidRPr="006931E7" w:rsidSect="00AB3AC6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2D"/>
    <w:rsid w:val="006931E7"/>
    <w:rsid w:val="00AB3AC6"/>
    <w:rsid w:val="00D76ED7"/>
    <w:rsid w:val="00E5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71C9"/>
  <w15:chartTrackingRefBased/>
  <w15:docId w15:val="{AD18C035-6681-4CFC-93EF-D084FCE4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1866</Characters>
  <Application>Microsoft Office Word</Application>
  <DocSecurity>0</DocSecurity>
  <Lines>15</Lines>
  <Paragraphs>4</Paragraphs>
  <ScaleCrop>false</ScaleCrop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Flory Murthy</dc:creator>
  <cp:keywords/>
  <dc:description/>
  <cp:lastModifiedBy>C Flory Murthy</cp:lastModifiedBy>
  <cp:revision>3</cp:revision>
  <dcterms:created xsi:type="dcterms:W3CDTF">2021-08-18T11:43:00Z</dcterms:created>
  <dcterms:modified xsi:type="dcterms:W3CDTF">2021-08-18T11:45:00Z</dcterms:modified>
</cp:coreProperties>
</file>